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45CE" w14:textId="50C04282" w:rsidR="00F82655" w:rsidRDefault="00F82655" w:rsidP="00F82655">
      <w:pPr>
        <w:pStyle w:val="Heading1"/>
      </w:pPr>
      <w:r>
        <w:t>Wales Pension Partnership Training</w:t>
      </w:r>
      <w:r w:rsidR="00887818">
        <w:t xml:space="preserve"> Plan</w:t>
      </w:r>
      <w:r>
        <w:t xml:space="preserve"> 20</w:t>
      </w:r>
      <w:r w:rsidR="00FE130B">
        <w:t>20</w:t>
      </w:r>
      <w:r>
        <w:t>/202</w:t>
      </w:r>
      <w:r w:rsidR="00FE130B">
        <w:t>1</w:t>
      </w:r>
    </w:p>
    <w:p w14:paraId="64A95EBE" w14:textId="77777777" w:rsidR="00887818" w:rsidRDefault="00887818" w:rsidP="00F82655">
      <w:pPr>
        <w:pStyle w:val="Heading2"/>
        <w:rPr>
          <w:color w:val="auto"/>
        </w:rPr>
      </w:pPr>
    </w:p>
    <w:p w14:paraId="73B6D2AA" w14:textId="5206A9B5" w:rsidR="00F82655" w:rsidRDefault="00F82655" w:rsidP="00F82655">
      <w:pPr>
        <w:pStyle w:val="Heading2"/>
        <w:rPr>
          <w:color w:val="auto"/>
        </w:rPr>
      </w:pPr>
      <w:r w:rsidRPr="0084445E">
        <w:rPr>
          <w:color w:val="auto"/>
        </w:rPr>
        <w:t>Background and Introduction</w:t>
      </w:r>
    </w:p>
    <w:p w14:paraId="1C7B3B19" w14:textId="77777777" w:rsidR="00887818" w:rsidRPr="00887818" w:rsidRDefault="00887818" w:rsidP="00887818">
      <w:pPr>
        <w:pStyle w:val="BodyTextGrey"/>
        <w:spacing w:before="0" w:after="0"/>
        <w:rPr>
          <w:sz w:val="4"/>
          <w:szCs w:val="4"/>
        </w:rPr>
      </w:pPr>
    </w:p>
    <w:p w14:paraId="2D5241BD" w14:textId="2ED2FC90" w:rsidR="00F82655" w:rsidRPr="009D0773" w:rsidRDefault="00F82655" w:rsidP="00887818">
      <w:pPr>
        <w:pStyle w:val="BodyTextGrey"/>
        <w:spacing w:after="0" w:line="240" w:lineRule="auto"/>
        <w:rPr>
          <w:color w:val="auto"/>
        </w:rPr>
      </w:pPr>
      <w:r w:rsidRPr="009D0773">
        <w:rPr>
          <w:color w:val="auto"/>
        </w:rPr>
        <w:t xml:space="preserve">WPP personnel </w:t>
      </w:r>
      <w:r w:rsidR="0011122C" w:rsidRPr="009D0773">
        <w:rPr>
          <w:color w:val="auto"/>
        </w:rPr>
        <w:t>must</w:t>
      </w:r>
      <w:r w:rsidRPr="009D0773">
        <w:rPr>
          <w:color w:val="auto"/>
        </w:rPr>
        <w:t xml:space="preserve"> have:</w:t>
      </w:r>
    </w:p>
    <w:p w14:paraId="49686E41" w14:textId="77777777" w:rsidR="00887818" w:rsidRPr="009D0773" w:rsidRDefault="00887818" w:rsidP="00887818">
      <w:pPr>
        <w:pStyle w:val="BodyTextGrey"/>
        <w:spacing w:after="0" w:line="240" w:lineRule="auto"/>
        <w:rPr>
          <w:color w:val="auto"/>
          <w:sz w:val="4"/>
          <w:szCs w:val="4"/>
        </w:rPr>
      </w:pPr>
    </w:p>
    <w:p w14:paraId="47B0AC0D" w14:textId="77777777" w:rsidR="00F82655" w:rsidRPr="009D0773" w:rsidRDefault="00F82655" w:rsidP="00887818">
      <w:pPr>
        <w:pStyle w:val="BodyTextGrey"/>
        <w:numPr>
          <w:ilvl w:val="0"/>
          <w:numId w:val="1"/>
        </w:numPr>
        <w:spacing w:after="0" w:line="360" w:lineRule="auto"/>
        <w:rPr>
          <w:color w:val="auto"/>
        </w:rPr>
      </w:pPr>
      <w:r w:rsidRPr="009D0773">
        <w:rPr>
          <w:color w:val="auto"/>
        </w:rPr>
        <w:t>Appropriate knowledge and understanding of:</w:t>
      </w:r>
    </w:p>
    <w:p w14:paraId="5FC557FF" w14:textId="2EDBC2FB" w:rsidR="00F82655" w:rsidRPr="009D0773" w:rsidRDefault="00F82655" w:rsidP="00887818">
      <w:pPr>
        <w:pStyle w:val="BodyTextGrey"/>
        <w:numPr>
          <w:ilvl w:val="1"/>
          <w:numId w:val="1"/>
        </w:numPr>
        <w:spacing w:after="0" w:line="360" w:lineRule="auto"/>
        <w:rPr>
          <w:color w:val="auto"/>
        </w:rPr>
      </w:pPr>
      <w:r w:rsidRPr="009D0773">
        <w:rPr>
          <w:color w:val="auto"/>
        </w:rPr>
        <w:t xml:space="preserve">the regulations and markets relating to </w:t>
      </w:r>
      <w:r w:rsidR="009D0773" w:rsidRPr="009D0773">
        <w:rPr>
          <w:color w:val="auto"/>
        </w:rPr>
        <w:t xml:space="preserve">the </w:t>
      </w:r>
      <w:r w:rsidR="0011122C" w:rsidRPr="009D0773">
        <w:rPr>
          <w:color w:val="auto"/>
        </w:rPr>
        <w:t>Local Government Pension Scheme</w:t>
      </w:r>
      <w:r w:rsidRPr="009D0773">
        <w:rPr>
          <w:color w:val="auto"/>
        </w:rPr>
        <w:t>;</w:t>
      </w:r>
    </w:p>
    <w:p w14:paraId="30CDB358" w14:textId="0BF9638B" w:rsidR="00F82655" w:rsidRPr="009D0773" w:rsidRDefault="00F82655" w:rsidP="00887818">
      <w:pPr>
        <w:pStyle w:val="BodyTextGrey"/>
        <w:numPr>
          <w:ilvl w:val="1"/>
          <w:numId w:val="1"/>
        </w:numPr>
        <w:spacing w:after="0" w:line="360" w:lineRule="auto"/>
        <w:rPr>
          <w:color w:val="auto"/>
        </w:rPr>
      </w:pPr>
      <w:r w:rsidRPr="009D0773">
        <w:rPr>
          <w:color w:val="auto"/>
        </w:rPr>
        <w:t xml:space="preserve">the pooling of Local </w:t>
      </w:r>
      <w:r w:rsidR="0011122C" w:rsidRPr="009D0773">
        <w:rPr>
          <w:color w:val="auto"/>
        </w:rPr>
        <w:t xml:space="preserve">Government </w:t>
      </w:r>
      <w:r w:rsidRPr="009D0773">
        <w:rPr>
          <w:color w:val="auto"/>
        </w:rPr>
        <w:t xml:space="preserve">Pension </w:t>
      </w:r>
      <w:r w:rsidR="009D0773" w:rsidRPr="009D0773">
        <w:rPr>
          <w:color w:val="auto"/>
        </w:rPr>
        <w:t>Funds</w:t>
      </w:r>
      <w:r w:rsidRPr="009D0773">
        <w:rPr>
          <w:color w:val="auto"/>
        </w:rPr>
        <w:t>; and</w:t>
      </w:r>
    </w:p>
    <w:p w14:paraId="77155653" w14:textId="1AF997B9" w:rsidR="00887818" w:rsidRPr="00887818" w:rsidRDefault="00F82655" w:rsidP="00887818">
      <w:pPr>
        <w:pStyle w:val="BodyTextGrey"/>
        <w:numPr>
          <w:ilvl w:val="1"/>
          <w:numId w:val="1"/>
        </w:numPr>
        <w:spacing w:line="360" w:lineRule="auto"/>
        <w:rPr>
          <w:color w:val="auto"/>
        </w:rPr>
      </w:pPr>
      <w:r w:rsidRPr="00887818">
        <w:rPr>
          <w:color w:val="auto"/>
        </w:rPr>
        <w:t xml:space="preserve">relevant investment opportunities. </w:t>
      </w:r>
    </w:p>
    <w:p w14:paraId="54262D21" w14:textId="499DA7DE" w:rsidR="00476020" w:rsidRPr="00887818" w:rsidRDefault="0006578B" w:rsidP="00887818">
      <w:pPr>
        <w:pStyle w:val="BodyTextGrey"/>
        <w:spacing w:before="0"/>
        <w:rPr>
          <w:color w:val="auto"/>
        </w:rPr>
      </w:pPr>
      <w:r w:rsidRPr="00887818">
        <w:rPr>
          <w:color w:val="auto"/>
        </w:rPr>
        <w:t>T</w:t>
      </w:r>
      <w:r w:rsidR="00476020" w:rsidRPr="00887818">
        <w:rPr>
          <w:color w:val="auto"/>
        </w:rPr>
        <w:t>he WPP’s training plan is designed to supplement existing Constituent Authority training plans. Local level training needs will continue to be addressed by Constituent Authorities while the WPP training plan will offer training that is relevant to the WPP’s pooling activities.</w:t>
      </w:r>
    </w:p>
    <w:p w14:paraId="0BD0B030" w14:textId="77777777" w:rsidR="00F82655" w:rsidRPr="00887818" w:rsidRDefault="00F82655" w:rsidP="00F82655">
      <w:pPr>
        <w:pStyle w:val="BodyTextGrey"/>
        <w:rPr>
          <w:color w:val="auto"/>
        </w:rPr>
      </w:pPr>
      <w:r w:rsidRPr="00887818">
        <w:rPr>
          <w:color w:val="auto"/>
        </w:rPr>
        <w:t xml:space="preserve">WPP personnel should obtain a degree of knowledge and understanding that ensures they are able to carry out their duties associated with the WPP. </w:t>
      </w:r>
    </w:p>
    <w:p w14:paraId="6003CA46" w14:textId="77777777" w:rsidR="00F82655" w:rsidRPr="00887818" w:rsidRDefault="00F82655" w:rsidP="004456D1">
      <w:pPr>
        <w:pStyle w:val="BodyTextGrey"/>
        <w:rPr>
          <w:color w:val="auto"/>
        </w:rPr>
      </w:pPr>
      <w:r w:rsidRPr="00887818">
        <w:rPr>
          <w:color w:val="auto"/>
        </w:rPr>
        <w:t>WPP personnel should also be aware of the WPP’s framework, beliefs, polices, governance matrix, the</w:t>
      </w:r>
      <w:r w:rsidR="004456D1" w:rsidRPr="00887818">
        <w:rPr>
          <w:color w:val="auto"/>
        </w:rPr>
        <w:t xml:space="preserve"> </w:t>
      </w:r>
      <w:r w:rsidRPr="00887818">
        <w:rPr>
          <w:color w:val="auto"/>
        </w:rPr>
        <w:t>decision-making process and decision logging process.</w:t>
      </w:r>
    </w:p>
    <w:p w14:paraId="0C73B90C" w14:textId="77777777" w:rsidR="00F82655" w:rsidRPr="00887818" w:rsidRDefault="00F82655" w:rsidP="00F82655">
      <w:pPr>
        <w:pStyle w:val="BodyTextGrey"/>
        <w:rPr>
          <w:color w:val="auto"/>
        </w:rPr>
      </w:pPr>
      <w:r w:rsidRPr="00887818">
        <w:rPr>
          <w:color w:val="auto"/>
        </w:rPr>
        <w:t>It is suggested that new WPP personnel conduct formal introductory training to reach the level of knowledge set out above. Following any introductory training, personnel are expected to maintain their understanding of items set out above, completing any additional training as necessary.</w:t>
      </w:r>
    </w:p>
    <w:p w14:paraId="4E8EBE20" w14:textId="77777777" w:rsidR="00F82655" w:rsidRPr="00887818" w:rsidRDefault="00F82655" w:rsidP="00F82655">
      <w:pPr>
        <w:pStyle w:val="BodyTextGrey"/>
        <w:rPr>
          <w:color w:val="auto"/>
        </w:rPr>
      </w:pPr>
      <w:r w:rsidRPr="00887818">
        <w:rPr>
          <w:color w:val="auto"/>
        </w:rPr>
        <w:t xml:space="preserve">To aid WPP personnel, the Host </w:t>
      </w:r>
      <w:r w:rsidR="004456D1" w:rsidRPr="00887818">
        <w:rPr>
          <w:color w:val="auto"/>
        </w:rPr>
        <w:t>A</w:t>
      </w:r>
      <w:r w:rsidRPr="00887818">
        <w:rPr>
          <w:color w:val="auto"/>
        </w:rPr>
        <w:t xml:space="preserve">uthority will arrange quarterly training sessions which will cover major areas such as investments, administration, regulation requirements, Government guidance and market developments. Please note that the Host Authority will maintain a training plan log which will keep a record of all the training WPP personnel have completed to date and the training that is due to take place in the foreseeable future. </w:t>
      </w:r>
    </w:p>
    <w:p w14:paraId="5520B760" w14:textId="5714A3B4" w:rsidR="00F82655" w:rsidRDefault="00F82655" w:rsidP="00F82655">
      <w:pPr>
        <w:pStyle w:val="BodyTextGrey"/>
        <w:rPr>
          <w:color w:val="auto"/>
        </w:rPr>
      </w:pPr>
      <w:r w:rsidRPr="00887818">
        <w:rPr>
          <w:color w:val="auto"/>
        </w:rPr>
        <w:t xml:space="preserve">We have set out below a list of training topics which the Host Authority will arrange training </w:t>
      </w:r>
      <w:r w:rsidR="00E041AD" w:rsidRPr="00887818">
        <w:rPr>
          <w:color w:val="auto"/>
        </w:rPr>
        <w:t>for</w:t>
      </w:r>
      <w:r w:rsidR="00436D97">
        <w:rPr>
          <w:color w:val="auto"/>
        </w:rPr>
        <w:t xml:space="preserve"> during </w:t>
      </w:r>
      <w:r w:rsidR="00E041AD" w:rsidRPr="00887818">
        <w:rPr>
          <w:color w:val="auto"/>
        </w:rPr>
        <w:t>the 20</w:t>
      </w:r>
      <w:r w:rsidR="00FE130B">
        <w:rPr>
          <w:color w:val="auto"/>
        </w:rPr>
        <w:t>20</w:t>
      </w:r>
      <w:r w:rsidR="00E041AD" w:rsidRPr="00887818">
        <w:rPr>
          <w:color w:val="auto"/>
        </w:rPr>
        <w:t>/202</w:t>
      </w:r>
      <w:r w:rsidR="00FE130B">
        <w:rPr>
          <w:color w:val="auto"/>
        </w:rPr>
        <w:t>1</w:t>
      </w:r>
      <w:r w:rsidR="00E041AD" w:rsidRPr="00887818">
        <w:rPr>
          <w:color w:val="auto"/>
        </w:rPr>
        <w:t xml:space="preserve"> financial year</w:t>
      </w:r>
      <w:r w:rsidRPr="00887818">
        <w:rPr>
          <w:color w:val="auto"/>
        </w:rPr>
        <w:t xml:space="preserve">. The topics outlined below are based on the responses received from the 2019/20 WPP training requirements questionnaire. We note that this questionnaire </w:t>
      </w:r>
      <w:r w:rsidR="004456D1" w:rsidRPr="00887818">
        <w:rPr>
          <w:color w:val="auto"/>
        </w:rPr>
        <w:t>will be</w:t>
      </w:r>
      <w:r w:rsidRPr="00887818">
        <w:rPr>
          <w:color w:val="auto"/>
        </w:rPr>
        <w:t xml:space="preserve"> issued to the Joint Governance Committee (‘JGC’) and Officers Working Group (‘OWG’) on an annual basis.</w:t>
      </w:r>
    </w:p>
    <w:p w14:paraId="2B3FF3D3" w14:textId="77777777" w:rsidR="005B1EB4" w:rsidRPr="00887818" w:rsidRDefault="005B1EB4" w:rsidP="005B1EB4">
      <w:pPr>
        <w:pStyle w:val="BodyTextGrey"/>
        <w:rPr>
          <w:color w:val="auto"/>
        </w:rPr>
      </w:pPr>
      <w:r w:rsidRPr="00887818">
        <w:rPr>
          <w:color w:val="auto"/>
        </w:rPr>
        <w:t>The WPP’s training events will primarily focus on meeting the training needs of members of the OWG and JGC, however Constituent Authorities are encouraged to invite Pension Committee Chairs Members</w:t>
      </w:r>
      <w:r>
        <w:rPr>
          <w:color w:val="auto"/>
        </w:rPr>
        <w:t xml:space="preserve">, as well as Pension Board Representatives </w:t>
      </w:r>
      <w:r w:rsidRPr="00887818">
        <w:rPr>
          <w:color w:val="auto"/>
        </w:rPr>
        <w:t xml:space="preserve">if they believe that the training would be </w:t>
      </w:r>
      <w:r>
        <w:rPr>
          <w:color w:val="auto"/>
        </w:rPr>
        <w:t>beneficial</w:t>
      </w:r>
      <w:r w:rsidRPr="00887818">
        <w:rPr>
          <w:color w:val="auto"/>
        </w:rPr>
        <w:t xml:space="preserve"> to the</w:t>
      </w:r>
      <w:r>
        <w:rPr>
          <w:color w:val="auto"/>
        </w:rPr>
        <w:t>se individuals.</w:t>
      </w:r>
      <w:r w:rsidRPr="00887818">
        <w:rPr>
          <w:color w:val="auto"/>
        </w:rPr>
        <w:t xml:space="preserve"> </w:t>
      </w:r>
    </w:p>
    <w:p w14:paraId="68641B5C" w14:textId="77777777" w:rsidR="005B1EB4" w:rsidRPr="00887818" w:rsidRDefault="005B1EB4" w:rsidP="005B1EB4">
      <w:pPr>
        <w:pStyle w:val="Heading2"/>
        <w:rPr>
          <w:color w:val="auto"/>
        </w:rPr>
      </w:pPr>
      <w:r w:rsidRPr="00887818">
        <w:rPr>
          <w:color w:val="auto"/>
        </w:rPr>
        <w:t xml:space="preserve">Individual Training </w:t>
      </w:r>
    </w:p>
    <w:p w14:paraId="637A79AD" w14:textId="77777777" w:rsidR="005B1EB4" w:rsidRPr="00887818" w:rsidRDefault="005B1EB4" w:rsidP="005B1EB4">
      <w:pPr>
        <w:pStyle w:val="BodyTextGrey"/>
        <w:rPr>
          <w:color w:val="auto"/>
        </w:rPr>
      </w:pPr>
      <w:r w:rsidRPr="00887818">
        <w:rPr>
          <w:color w:val="auto"/>
        </w:rPr>
        <w:t xml:space="preserve">It is important that individuals have, and maintain, an ‘appropriate’ level of knowledge and understanding of the activities relevant to their duties within the WPP.  </w:t>
      </w:r>
    </w:p>
    <w:p w14:paraId="6C9AD935" w14:textId="77777777" w:rsidR="005B1EB4" w:rsidRPr="00887818" w:rsidRDefault="005B1EB4" w:rsidP="005B1EB4">
      <w:pPr>
        <w:pStyle w:val="BodyTextGrey"/>
        <w:rPr>
          <w:color w:val="auto"/>
        </w:rPr>
      </w:pPr>
      <w:r w:rsidRPr="00887818">
        <w:rPr>
          <w:color w:val="auto"/>
        </w:rPr>
        <w:t xml:space="preserve">It is best practice for individuals to review their own knowledge and understanding at least annually and undertake further learning for any areas that are identified as requiring further attention or development. Individuals should consider their learning requirements and record any training activity undertaken and inform the Host Authority, who will aid this process by issuing an annual training requirements questionnaire. </w:t>
      </w:r>
    </w:p>
    <w:p w14:paraId="5E2DE9A8" w14:textId="77777777" w:rsidR="005B1EB4" w:rsidRPr="00887818" w:rsidRDefault="005B1EB4" w:rsidP="00F82655">
      <w:pPr>
        <w:pStyle w:val="BodyTextGrey"/>
        <w:rPr>
          <w:color w:val="auto"/>
        </w:rPr>
      </w:pPr>
    </w:p>
    <w:p w14:paraId="7D1767BA" w14:textId="05F336FF" w:rsidR="00887818" w:rsidRPr="00887818" w:rsidRDefault="00F82655" w:rsidP="00887818">
      <w:pPr>
        <w:pStyle w:val="Heading2"/>
        <w:spacing w:after="240"/>
        <w:rPr>
          <w:color w:val="auto"/>
        </w:rPr>
      </w:pPr>
      <w:r w:rsidRPr="00887818">
        <w:rPr>
          <w:color w:val="auto"/>
        </w:rPr>
        <w:lastRenderedPageBreak/>
        <w:t xml:space="preserve">Training </w:t>
      </w:r>
    </w:p>
    <w:tbl>
      <w:tblPr>
        <w:tblStyle w:val="LightShading1"/>
        <w:tblW w:w="9923" w:type="dxa"/>
        <w:tblInd w:w="-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4A0" w:firstRow="1" w:lastRow="0" w:firstColumn="1" w:lastColumn="0" w:noHBand="0" w:noVBand="1"/>
      </w:tblPr>
      <w:tblGrid>
        <w:gridCol w:w="4820"/>
        <w:gridCol w:w="3544"/>
        <w:gridCol w:w="1559"/>
      </w:tblGrid>
      <w:tr w:rsidR="005B1EB4" w:rsidRPr="00887818" w14:paraId="44FC2AF0" w14:textId="77777777" w:rsidTr="00DA504E">
        <w:trPr>
          <w:cnfStyle w:val="100000000000" w:firstRow="1" w:lastRow="0" w:firstColumn="0" w:lastColumn="0" w:oddVBand="0" w:evenVBand="0" w:oddHBand="0" w:evenHBand="0" w:firstRowFirstColumn="0" w:firstRowLastColumn="0" w:lastRowFirstColumn="0" w:lastRowLastColumn="0"/>
          <w:trHeight w:hRule="exact" w:val="519"/>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DEEAF6" w:themeFill="accent5" w:themeFillTint="33"/>
          </w:tcPr>
          <w:p w14:paraId="365784D9" w14:textId="4BF5DF50" w:rsidR="005B1EB4" w:rsidRPr="00FD5324" w:rsidRDefault="00FD5324" w:rsidP="005B1EB4">
            <w:pPr>
              <w:spacing w:after="200"/>
              <w:jc w:val="left"/>
              <w:rPr>
                <w:color w:val="auto"/>
              </w:rPr>
            </w:pPr>
            <w:r w:rsidRPr="00FD5324">
              <w:rPr>
                <w:color w:val="auto"/>
              </w:rPr>
              <w:t>Topic</w:t>
            </w:r>
          </w:p>
        </w:tc>
        <w:tc>
          <w:tcPr>
            <w:tcW w:w="3544" w:type="dxa"/>
            <w:tcBorders>
              <w:left w:val="single" w:sz="4" w:space="0" w:color="5B9BD5" w:themeColor="accent5"/>
              <w:right w:val="single" w:sz="4" w:space="0" w:color="5B9BD5" w:themeColor="accent5"/>
            </w:tcBorders>
            <w:shd w:val="clear" w:color="auto" w:fill="DEEAF6" w:themeFill="accent5" w:themeFillTint="33"/>
          </w:tcPr>
          <w:p w14:paraId="56905358" w14:textId="794B5C2D" w:rsidR="005B1EB4" w:rsidRPr="00FD5324" w:rsidRDefault="00FD5324" w:rsidP="005B1EB4">
            <w:pPr>
              <w:spacing w:before="0" w:after="200"/>
              <w:cnfStyle w:val="100000000000" w:firstRow="1" w:lastRow="0" w:firstColumn="0" w:lastColumn="0" w:oddVBand="0" w:evenVBand="0" w:oddHBand="0" w:evenHBand="0" w:firstRowFirstColumn="0" w:firstRowLastColumn="0" w:lastRowFirstColumn="0" w:lastRowLastColumn="0"/>
              <w:rPr>
                <w:color w:val="auto"/>
              </w:rPr>
            </w:pPr>
            <w:r w:rsidRPr="00FD5324">
              <w:rPr>
                <w:color w:val="auto"/>
              </w:rPr>
              <w:t>Presenter / Training Host</w:t>
            </w:r>
          </w:p>
        </w:tc>
        <w:tc>
          <w:tcPr>
            <w:tcW w:w="1559" w:type="dxa"/>
            <w:tcBorders>
              <w:left w:val="single" w:sz="4" w:space="0" w:color="5B9BD5" w:themeColor="accent5"/>
              <w:right w:val="single" w:sz="4" w:space="0" w:color="5B9BD5" w:themeColor="accent5"/>
            </w:tcBorders>
            <w:shd w:val="clear" w:color="auto" w:fill="DEEAF6" w:themeFill="accent5" w:themeFillTint="33"/>
          </w:tcPr>
          <w:p w14:paraId="79DA40FD" w14:textId="19A22E96" w:rsidR="005B1EB4" w:rsidRPr="00FD5324" w:rsidRDefault="00FD5324" w:rsidP="00FD5324">
            <w:pPr>
              <w:spacing w:after="200"/>
              <w:jc w:val="center"/>
              <w:cnfStyle w:val="100000000000" w:firstRow="1" w:lastRow="0" w:firstColumn="0" w:lastColumn="0" w:oddVBand="0" w:evenVBand="0" w:oddHBand="0" w:evenHBand="0" w:firstRowFirstColumn="0" w:firstRowLastColumn="0" w:lastRowFirstColumn="0" w:lastRowLastColumn="0"/>
              <w:rPr>
                <w:color w:val="auto"/>
              </w:rPr>
            </w:pPr>
            <w:r w:rsidRPr="00FD5324">
              <w:rPr>
                <w:color w:val="auto"/>
              </w:rPr>
              <w:t>Date</w:t>
            </w:r>
          </w:p>
        </w:tc>
      </w:tr>
      <w:tr w:rsidR="00FD5324" w:rsidRPr="00887818" w14:paraId="0E81310C" w14:textId="77777777" w:rsidTr="00DA504E">
        <w:trPr>
          <w:cnfStyle w:val="000000100000" w:firstRow="0" w:lastRow="0" w:firstColumn="0" w:lastColumn="0" w:oddVBand="0" w:evenVBand="0" w:oddHBand="1" w:evenHBand="0" w:firstRowFirstColumn="0" w:firstRowLastColumn="0" w:lastRowFirstColumn="0" w:lastRowLastColumn="0"/>
          <w:trHeight w:hRule="exact" w:val="519"/>
        </w:trPr>
        <w:tc>
          <w:tcPr>
            <w:cnfStyle w:val="001000000000" w:firstRow="0" w:lastRow="0" w:firstColumn="1" w:lastColumn="0" w:oddVBand="0" w:evenVBand="0" w:oddHBand="0" w:evenHBand="0" w:firstRowFirstColumn="0" w:firstRowLastColumn="0" w:lastRowFirstColumn="0" w:lastRowLastColumn="0"/>
            <w:tcW w:w="9923" w:type="dxa"/>
            <w:gridSpan w:val="3"/>
            <w:tcBorders>
              <w:left w:val="single" w:sz="4" w:space="0" w:color="5B9BD5" w:themeColor="accent5"/>
              <w:right w:val="single" w:sz="4" w:space="0" w:color="5B9BD5" w:themeColor="accent5"/>
            </w:tcBorders>
            <w:shd w:val="clear" w:color="auto" w:fill="auto"/>
          </w:tcPr>
          <w:p w14:paraId="372E83C0" w14:textId="2C0EC0FD" w:rsidR="00FD5324" w:rsidRPr="00887818" w:rsidRDefault="00FD5324" w:rsidP="005B1EB4">
            <w:pPr>
              <w:spacing w:after="200"/>
              <w:jc w:val="left"/>
              <w:rPr>
                <w:color w:val="auto"/>
              </w:rPr>
            </w:pPr>
            <w:r w:rsidRPr="00FD5324">
              <w:rPr>
                <w:color w:val="auto"/>
              </w:rPr>
              <w:t>Monitoring</w:t>
            </w:r>
          </w:p>
        </w:tc>
      </w:tr>
      <w:tr w:rsidR="00FD5324" w:rsidRPr="00887818" w14:paraId="50AA5FD2" w14:textId="77777777" w:rsidTr="00DA504E">
        <w:trPr>
          <w:trHeight w:hRule="exact" w:val="519"/>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auto"/>
          </w:tcPr>
          <w:p w14:paraId="0D435A1A" w14:textId="09E2E96B" w:rsidR="00FD5324" w:rsidRPr="009D0773" w:rsidRDefault="00FD5324" w:rsidP="00FD5324">
            <w:pPr>
              <w:pStyle w:val="ListParagraph"/>
              <w:numPr>
                <w:ilvl w:val="0"/>
                <w:numId w:val="2"/>
              </w:numPr>
              <w:spacing w:after="200"/>
              <w:ind w:left="459"/>
              <w:jc w:val="left"/>
              <w:rPr>
                <w:b w:val="0"/>
                <w:bCs w:val="0"/>
                <w:color w:val="auto"/>
              </w:rPr>
            </w:pPr>
            <w:r w:rsidRPr="009D0773">
              <w:rPr>
                <w:b w:val="0"/>
                <w:bCs w:val="0"/>
                <w:color w:val="auto"/>
              </w:rPr>
              <w:t>Managing Conflic</w:t>
            </w:r>
            <w:r w:rsidR="00982ABB" w:rsidRPr="009D0773">
              <w:rPr>
                <w:b w:val="0"/>
                <w:bCs w:val="0"/>
                <w:color w:val="auto"/>
              </w:rPr>
              <w:t>t</w:t>
            </w:r>
            <w:r w:rsidR="0011122C" w:rsidRPr="009D0773">
              <w:rPr>
                <w:b w:val="0"/>
                <w:bCs w:val="0"/>
                <w:color w:val="auto"/>
              </w:rPr>
              <w:t xml:space="preserve"> of Interest</w:t>
            </w:r>
          </w:p>
        </w:tc>
        <w:tc>
          <w:tcPr>
            <w:tcW w:w="3544" w:type="dxa"/>
            <w:tcBorders>
              <w:left w:val="single" w:sz="4" w:space="0" w:color="5B9BD5" w:themeColor="accent5"/>
              <w:right w:val="single" w:sz="4" w:space="0" w:color="5B9BD5" w:themeColor="accent5"/>
            </w:tcBorders>
            <w:shd w:val="clear" w:color="auto" w:fill="auto"/>
          </w:tcPr>
          <w:p w14:paraId="17106C2C" w14:textId="69A6C5D6" w:rsidR="00FD5324" w:rsidRDefault="00DB010A" w:rsidP="005B1EB4">
            <w:pPr>
              <w:spacing w:before="0" w:after="200"/>
              <w:cnfStyle w:val="000000000000" w:firstRow="0" w:lastRow="0" w:firstColumn="0" w:lastColumn="0" w:oddVBand="0" w:evenVBand="0" w:oddHBand="0" w:evenHBand="0" w:firstRowFirstColumn="0" w:firstRowLastColumn="0" w:lastRowFirstColumn="0" w:lastRowLastColumn="0"/>
              <w:rPr>
                <w:color w:val="auto"/>
              </w:rPr>
            </w:pPr>
            <w:r>
              <w:rPr>
                <w:color w:val="auto"/>
              </w:rPr>
              <w:t>Hymans Robertson</w:t>
            </w:r>
          </w:p>
          <w:p w14:paraId="6BE44885" w14:textId="2214E7E1" w:rsidR="00FD5324" w:rsidRPr="005B1EB4" w:rsidRDefault="00FD5324" w:rsidP="005B1EB4">
            <w:pPr>
              <w:spacing w:before="0" w:after="200"/>
              <w:cnfStyle w:val="000000000000" w:firstRow="0" w:lastRow="0" w:firstColumn="0" w:lastColumn="0" w:oddVBand="0" w:evenVBand="0" w:oddHBand="0" w:evenHBand="0" w:firstRowFirstColumn="0" w:firstRowLastColumn="0" w:lastRowFirstColumn="0" w:lastRowLastColumn="0"/>
              <w:rPr>
                <w:color w:val="auto"/>
              </w:rPr>
            </w:pPr>
          </w:p>
        </w:tc>
        <w:tc>
          <w:tcPr>
            <w:tcW w:w="1559" w:type="dxa"/>
            <w:vMerge w:val="restart"/>
            <w:tcBorders>
              <w:left w:val="single" w:sz="4" w:space="0" w:color="5B9BD5" w:themeColor="accent5"/>
              <w:right w:val="single" w:sz="4" w:space="0" w:color="5B9BD5" w:themeColor="accent5"/>
            </w:tcBorders>
            <w:shd w:val="clear" w:color="auto" w:fill="auto"/>
          </w:tcPr>
          <w:p w14:paraId="58AB01DF" w14:textId="3373AD04" w:rsidR="00DA504E" w:rsidRPr="00DA504E" w:rsidRDefault="00FD5324" w:rsidP="00DA504E">
            <w:pPr>
              <w:spacing w:after="24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Q1</w:t>
            </w:r>
          </w:p>
          <w:p w14:paraId="2FBF158C" w14:textId="38380881" w:rsidR="00FD5324" w:rsidRPr="00887818" w:rsidRDefault="00FD5324" w:rsidP="00FD5324">
            <w:pPr>
              <w:spacing w:after="20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April – June 2020</w:t>
            </w:r>
          </w:p>
        </w:tc>
      </w:tr>
      <w:tr w:rsidR="00FD5324" w:rsidRPr="00887818" w14:paraId="5943C316" w14:textId="77777777" w:rsidTr="00DA504E">
        <w:trPr>
          <w:cnfStyle w:val="000000100000" w:firstRow="0" w:lastRow="0" w:firstColumn="0" w:lastColumn="0" w:oddVBand="0" w:evenVBand="0" w:oddHBand="1" w:evenHBand="0" w:firstRowFirstColumn="0" w:firstRowLastColumn="0" w:lastRowFirstColumn="0" w:lastRowLastColumn="0"/>
          <w:trHeight w:hRule="exact" w:val="519"/>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auto"/>
          </w:tcPr>
          <w:p w14:paraId="332ACB77" w14:textId="7CDD6995" w:rsidR="00FD5324" w:rsidRPr="009D0773" w:rsidRDefault="00FD5324" w:rsidP="00FD5324">
            <w:pPr>
              <w:pStyle w:val="ListParagraph"/>
              <w:numPr>
                <w:ilvl w:val="0"/>
                <w:numId w:val="2"/>
              </w:numPr>
              <w:spacing w:after="200"/>
              <w:ind w:left="459"/>
              <w:jc w:val="left"/>
              <w:rPr>
                <w:b w:val="0"/>
                <w:bCs w:val="0"/>
                <w:color w:val="auto"/>
              </w:rPr>
            </w:pPr>
            <w:r w:rsidRPr="009D0773">
              <w:rPr>
                <w:b w:val="0"/>
                <w:bCs w:val="0"/>
                <w:color w:val="auto"/>
              </w:rPr>
              <w:t>Operator Mo</w:t>
            </w:r>
            <w:bookmarkStart w:id="0" w:name="_GoBack"/>
            <w:bookmarkEnd w:id="0"/>
            <w:r w:rsidRPr="009D0773">
              <w:rPr>
                <w:b w:val="0"/>
                <w:bCs w:val="0"/>
                <w:color w:val="auto"/>
              </w:rPr>
              <w:t>nitoring</w:t>
            </w:r>
          </w:p>
        </w:tc>
        <w:tc>
          <w:tcPr>
            <w:tcW w:w="3544" w:type="dxa"/>
            <w:tcBorders>
              <w:left w:val="single" w:sz="4" w:space="0" w:color="5B9BD5" w:themeColor="accent5"/>
              <w:right w:val="single" w:sz="4" w:space="0" w:color="5B9BD5" w:themeColor="accent5"/>
            </w:tcBorders>
            <w:shd w:val="clear" w:color="auto" w:fill="auto"/>
          </w:tcPr>
          <w:p w14:paraId="0BCC5559" w14:textId="3A04EA8C" w:rsidR="00FD5324" w:rsidRPr="005B1EB4" w:rsidRDefault="00DB010A" w:rsidP="005B1EB4">
            <w:pPr>
              <w:spacing w:before="0" w:after="200"/>
              <w:cnfStyle w:val="000000100000" w:firstRow="0" w:lastRow="0" w:firstColumn="0" w:lastColumn="0" w:oddVBand="0" w:evenVBand="0" w:oddHBand="1" w:evenHBand="0" w:firstRowFirstColumn="0" w:firstRowLastColumn="0" w:lastRowFirstColumn="0" w:lastRowLastColumn="0"/>
              <w:rPr>
                <w:color w:val="auto"/>
              </w:rPr>
            </w:pPr>
            <w:r>
              <w:rPr>
                <w:color w:val="auto"/>
              </w:rPr>
              <w:t>Hymans Robertson</w:t>
            </w:r>
          </w:p>
        </w:tc>
        <w:tc>
          <w:tcPr>
            <w:tcW w:w="1559" w:type="dxa"/>
            <w:vMerge/>
            <w:tcBorders>
              <w:left w:val="single" w:sz="4" w:space="0" w:color="5B9BD5" w:themeColor="accent5"/>
              <w:right w:val="single" w:sz="4" w:space="0" w:color="5B9BD5" w:themeColor="accent5"/>
            </w:tcBorders>
            <w:shd w:val="clear" w:color="auto" w:fill="auto"/>
          </w:tcPr>
          <w:p w14:paraId="38F2E4E4" w14:textId="77777777" w:rsidR="00FD5324" w:rsidRPr="00887818" w:rsidRDefault="00FD5324" w:rsidP="005B1EB4">
            <w:pPr>
              <w:spacing w:after="200"/>
              <w:jc w:val="left"/>
              <w:cnfStyle w:val="000000100000" w:firstRow="0" w:lastRow="0" w:firstColumn="0" w:lastColumn="0" w:oddVBand="0" w:evenVBand="0" w:oddHBand="1" w:evenHBand="0" w:firstRowFirstColumn="0" w:firstRowLastColumn="0" w:lastRowFirstColumn="0" w:lastRowLastColumn="0"/>
              <w:rPr>
                <w:color w:val="auto"/>
              </w:rPr>
            </w:pPr>
          </w:p>
        </w:tc>
      </w:tr>
      <w:tr w:rsidR="00FD5324" w:rsidRPr="00887818" w14:paraId="40C63CD7" w14:textId="77777777" w:rsidTr="00DB010A">
        <w:trPr>
          <w:trHeight w:hRule="exact" w:val="1031"/>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auto"/>
          </w:tcPr>
          <w:p w14:paraId="19080AF0" w14:textId="140757D5" w:rsidR="00FD5324" w:rsidRPr="009D0773" w:rsidRDefault="00FD5324" w:rsidP="00FD5324">
            <w:pPr>
              <w:pStyle w:val="ListParagraph"/>
              <w:numPr>
                <w:ilvl w:val="0"/>
                <w:numId w:val="2"/>
              </w:numPr>
              <w:spacing w:after="200"/>
              <w:ind w:left="459"/>
              <w:jc w:val="left"/>
              <w:rPr>
                <w:b w:val="0"/>
                <w:bCs w:val="0"/>
                <w:color w:val="auto"/>
              </w:rPr>
            </w:pPr>
            <w:r w:rsidRPr="009D0773">
              <w:rPr>
                <w:b w:val="0"/>
                <w:bCs w:val="0"/>
                <w:color w:val="auto"/>
              </w:rPr>
              <w:t>Performance metrics (including RI metrics)</w:t>
            </w:r>
          </w:p>
        </w:tc>
        <w:tc>
          <w:tcPr>
            <w:tcW w:w="3544" w:type="dxa"/>
            <w:tcBorders>
              <w:left w:val="single" w:sz="4" w:space="0" w:color="5B9BD5" w:themeColor="accent5"/>
              <w:right w:val="single" w:sz="4" w:space="0" w:color="5B9BD5" w:themeColor="accent5"/>
            </w:tcBorders>
            <w:shd w:val="clear" w:color="auto" w:fill="auto"/>
          </w:tcPr>
          <w:p w14:paraId="6498532E" w14:textId="3A95284A" w:rsidR="00FD5324" w:rsidRPr="005B1EB4" w:rsidRDefault="00DB010A" w:rsidP="00FD5324">
            <w:pPr>
              <w:spacing w:before="0" w:after="200"/>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Link / </w:t>
            </w:r>
            <w:r w:rsidR="00FD5324" w:rsidRPr="00887818">
              <w:rPr>
                <w:color w:val="auto"/>
              </w:rPr>
              <w:t>Russell Investments</w:t>
            </w:r>
            <w:r w:rsidR="00FD5324">
              <w:rPr>
                <w:color w:val="auto"/>
              </w:rPr>
              <w:t xml:space="preserve"> </w:t>
            </w:r>
            <w:r w:rsidR="00FD5324" w:rsidRPr="00887818">
              <w:rPr>
                <w:color w:val="auto"/>
              </w:rPr>
              <w:t>/ Investment</w:t>
            </w:r>
            <w:r w:rsidR="00FD5324">
              <w:rPr>
                <w:color w:val="auto"/>
              </w:rPr>
              <w:t xml:space="preserve"> </w:t>
            </w:r>
            <w:r w:rsidR="00FD5324" w:rsidRPr="00887818">
              <w:rPr>
                <w:color w:val="auto"/>
              </w:rPr>
              <w:t xml:space="preserve">Managers &amp; </w:t>
            </w:r>
            <w:r>
              <w:rPr>
                <w:color w:val="auto"/>
              </w:rPr>
              <w:t>Hymans Robertson</w:t>
            </w:r>
          </w:p>
        </w:tc>
        <w:tc>
          <w:tcPr>
            <w:tcW w:w="1559" w:type="dxa"/>
            <w:vMerge/>
            <w:tcBorders>
              <w:left w:val="single" w:sz="4" w:space="0" w:color="5B9BD5" w:themeColor="accent5"/>
              <w:right w:val="single" w:sz="4" w:space="0" w:color="5B9BD5" w:themeColor="accent5"/>
            </w:tcBorders>
            <w:shd w:val="clear" w:color="auto" w:fill="auto"/>
          </w:tcPr>
          <w:p w14:paraId="42BBFC2E" w14:textId="77777777" w:rsidR="00FD5324" w:rsidRPr="00887818" w:rsidRDefault="00FD5324" w:rsidP="005B1EB4">
            <w:pPr>
              <w:spacing w:after="200"/>
              <w:jc w:val="left"/>
              <w:cnfStyle w:val="000000000000" w:firstRow="0" w:lastRow="0" w:firstColumn="0" w:lastColumn="0" w:oddVBand="0" w:evenVBand="0" w:oddHBand="0" w:evenHBand="0" w:firstRowFirstColumn="0" w:firstRowLastColumn="0" w:lastRowFirstColumn="0" w:lastRowLastColumn="0"/>
              <w:rPr>
                <w:color w:val="auto"/>
              </w:rPr>
            </w:pPr>
          </w:p>
        </w:tc>
      </w:tr>
      <w:tr w:rsidR="00FD5324" w:rsidRPr="00887818" w14:paraId="7429974D" w14:textId="77777777" w:rsidTr="00DA504E">
        <w:trPr>
          <w:cnfStyle w:val="000000100000" w:firstRow="0" w:lastRow="0" w:firstColumn="0" w:lastColumn="0" w:oddVBand="0" w:evenVBand="0" w:oddHBand="1" w:evenHBand="0" w:firstRowFirstColumn="0" w:firstRowLastColumn="0" w:lastRowFirstColumn="0" w:lastRowLastColumn="0"/>
          <w:trHeight w:hRule="exact" w:val="519"/>
        </w:trPr>
        <w:tc>
          <w:tcPr>
            <w:cnfStyle w:val="001000000000" w:firstRow="0" w:lastRow="0" w:firstColumn="1" w:lastColumn="0" w:oddVBand="0" w:evenVBand="0" w:oddHBand="0" w:evenHBand="0" w:firstRowFirstColumn="0" w:firstRowLastColumn="0" w:lastRowFirstColumn="0" w:lastRowLastColumn="0"/>
            <w:tcW w:w="9923" w:type="dxa"/>
            <w:gridSpan w:val="3"/>
            <w:tcBorders>
              <w:left w:val="single" w:sz="4" w:space="0" w:color="5B9BD5" w:themeColor="accent5"/>
              <w:right w:val="single" w:sz="4" w:space="0" w:color="5B9BD5" w:themeColor="accent5"/>
            </w:tcBorders>
            <w:shd w:val="clear" w:color="auto" w:fill="DEEAF6" w:themeFill="accent5" w:themeFillTint="33"/>
          </w:tcPr>
          <w:p w14:paraId="4D69F004" w14:textId="14D7F099" w:rsidR="00FD5324" w:rsidRPr="009D0773" w:rsidRDefault="00FD5324" w:rsidP="005B1EB4">
            <w:pPr>
              <w:spacing w:after="200"/>
              <w:jc w:val="left"/>
              <w:rPr>
                <w:color w:val="auto"/>
              </w:rPr>
            </w:pPr>
            <w:r w:rsidRPr="009D0773">
              <w:rPr>
                <w:color w:val="auto"/>
              </w:rPr>
              <w:t>Market Understanding</w:t>
            </w:r>
          </w:p>
        </w:tc>
      </w:tr>
      <w:tr w:rsidR="00FD5324" w:rsidRPr="00887818" w14:paraId="05EEE48B" w14:textId="77777777" w:rsidTr="00DA504E">
        <w:trPr>
          <w:trHeight w:hRule="exact" w:val="519"/>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DEEAF6" w:themeFill="accent5" w:themeFillTint="33"/>
          </w:tcPr>
          <w:p w14:paraId="7A9E5A9B" w14:textId="03563EC3" w:rsidR="00FD5324" w:rsidRPr="009D0773" w:rsidRDefault="00FD5324" w:rsidP="00FD5324">
            <w:pPr>
              <w:pStyle w:val="ListParagraph"/>
              <w:numPr>
                <w:ilvl w:val="0"/>
                <w:numId w:val="2"/>
              </w:numPr>
              <w:spacing w:after="200"/>
              <w:ind w:left="459"/>
              <w:jc w:val="left"/>
              <w:rPr>
                <w:rFonts w:asciiTheme="minorBidi" w:hAnsiTheme="minorBidi" w:cstheme="minorBidi"/>
                <w:b w:val="0"/>
                <w:bCs w:val="0"/>
                <w:color w:val="auto"/>
              </w:rPr>
            </w:pPr>
            <w:r w:rsidRPr="009D0773">
              <w:rPr>
                <w:rFonts w:asciiTheme="minorBidi" w:hAnsiTheme="minorBidi" w:cstheme="minorBidi"/>
                <w:b w:val="0"/>
                <w:bCs w:val="0"/>
                <w:color w:val="auto"/>
              </w:rPr>
              <w:t>Progress of other LGPS pools</w:t>
            </w:r>
          </w:p>
        </w:tc>
        <w:tc>
          <w:tcPr>
            <w:tcW w:w="3544" w:type="dxa"/>
            <w:tcBorders>
              <w:left w:val="single" w:sz="4" w:space="0" w:color="5B9BD5" w:themeColor="accent5"/>
              <w:right w:val="single" w:sz="4" w:space="0" w:color="5B9BD5" w:themeColor="accent5"/>
            </w:tcBorders>
            <w:shd w:val="clear" w:color="auto" w:fill="DEEAF6" w:themeFill="accent5" w:themeFillTint="33"/>
          </w:tcPr>
          <w:p w14:paraId="2806F368" w14:textId="4773C8C0" w:rsidR="00FD5324" w:rsidRPr="00FD5324" w:rsidRDefault="00DB010A" w:rsidP="005B1EB4">
            <w:pPr>
              <w:spacing w:before="0" w:after="20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rPr>
            </w:pPr>
            <w:r>
              <w:rPr>
                <w:rFonts w:asciiTheme="minorBidi" w:hAnsiTheme="minorBidi" w:cstheme="minorBidi"/>
                <w:color w:val="auto"/>
              </w:rPr>
              <w:t>Hymans Robertson</w:t>
            </w:r>
            <w:r w:rsidR="00FD5324" w:rsidRPr="00FD5324">
              <w:rPr>
                <w:rFonts w:asciiTheme="minorBidi" w:hAnsiTheme="minorBidi" w:cstheme="minorBidi"/>
                <w:color w:val="auto"/>
              </w:rPr>
              <w:t xml:space="preserve"> &amp; External Parties</w:t>
            </w:r>
          </w:p>
        </w:tc>
        <w:tc>
          <w:tcPr>
            <w:tcW w:w="1559" w:type="dxa"/>
            <w:vMerge w:val="restart"/>
            <w:tcBorders>
              <w:left w:val="single" w:sz="4" w:space="0" w:color="5B9BD5" w:themeColor="accent5"/>
              <w:right w:val="single" w:sz="4" w:space="0" w:color="5B9BD5" w:themeColor="accent5"/>
            </w:tcBorders>
            <w:shd w:val="clear" w:color="auto" w:fill="DEEAF6" w:themeFill="accent5" w:themeFillTint="33"/>
          </w:tcPr>
          <w:p w14:paraId="18C06A3D" w14:textId="6F1E5ABC" w:rsidR="00563417" w:rsidRDefault="00FD5324" w:rsidP="00DA504E">
            <w:pPr>
              <w:spacing w:after="2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rPr>
            </w:pPr>
            <w:r>
              <w:rPr>
                <w:rFonts w:asciiTheme="minorBidi" w:hAnsiTheme="minorBidi" w:cstheme="minorBidi"/>
                <w:color w:val="auto"/>
              </w:rPr>
              <w:t>Q2</w:t>
            </w:r>
          </w:p>
          <w:p w14:paraId="2DB4A371" w14:textId="39921583" w:rsidR="00FD5324" w:rsidRPr="00FD5324" w:rsidRDefault="00FD5324" w:rsidP="00DA504E">
            <w:pPr>
              <w:spacing w:before="0"/>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rPr>
            </w:pPr>
            <w:r>
              <w:rPr>
                <w:rFonts w:asciiTheme="minorBidi" w:hAnsiTheme="minorBidi" w:cstheme="minorBidi"/>
                <w:color w:val="auto"/>
              </w:rPr>
              <w:t>July – September 2020</w:t>
            </w:r>
          </w:p>
        </w:tc>
      </w:tr>
      <w:tr w:rsidR="00FD5324" w:rsidRPr="00887818" w14:paraId="51E58E08" w14:textId="77777777" w:rsidTr="00DA504E">
        <w:trPr>
          <w:cnfStyle w:val="000000100000" w:firstRow="0" w:lastRow="0" w:firstColumn="0" w:lastColumn="0" w:oddVBand="0" w:evenVBand="0" w:oddHBand="1" w:evenHBand="0" w:firstRowFirstColumn="0" w:firstRowLastColumn="0" w:lastRowFirstColumn="0" w:lastRowLastColumn="0"/>
          <w:trHeight w:hRule="exact" w:val="519"/>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DEEAF6" w:themeFill="accent5" w:themeFillTint="33"/>
          </w:tcPr>
          <w:p w14:paraId="4AE63514" w14:textId="77777777" w:rsidR="00FD5324" w:rsidRPr="009D0773" w:rsidRDefault="00FD5324" w:rsidP="00FD5324">
            <w:pPr>
              <w:pStyle w:val="Default"/>
              <w:numPr>
                <w:ilvl w:val="0"/>
                <w:numId w:val="2"/>
              </w:numPr>
              <w:ind w:left="459"/>
              <w:rPr>
                <w:rFonts w:asciiTheme="minorBidi" w:hAnsiTheme="minorBidi" w:cstheme="minorBidi"/>
                <w:b w:val="0"/>
                <w:bCs w:val="0"/>
                <w:color w:val="auto"/>
                <w:sz w:val="20"/>
                <w:szCs w:val="20"/>
              </w:rPr>
            </w:pPr>
            <w:r w:rsidRPr="009D0773">
              <w:rPr>
                <w:rFonts w:asciiTheme="minorBidi" w:hAnsiTheme="minorBidi" w:cstheme="minorBidi"/>
                <w:b w:val="0"/>
                <w:bCs w:val="0"/>
                <w:sz w:val="20"/>
                <w:szCs w:val="20"/>
              </w:rPr>
              <w:t xml:space="preserve">Collaboration Opportunities </w:t>
            </w:r>
          </w:p>
          <w:p w14:paraId="5B6303F9" w14:textId="77777777" w:rsidR="00FD5324" w:rsidRPr="009D0773" w:rsidRDefault="00FD5324" w:rsidP="00FD5324">
            <w:pPr>
              <w:spacing w:after="200"/>
              <w:ind w:left="459"/>
              <w:jc w:val="left"/>
              <w:rPr>
                <w:rFonts w:asciiTheme="minorBidi" w:hAnsiTheme="minorBidi" w:cstheme="minorBidi"/>
                <w:b w:val="0"/>
                <w:bCs w:val="0"/>
                <w:color w:val="auto"/>
              </w:rPr>
            </w:pPr>
          </w:p>
        </w:tc>
        <w:tc>
          <w:tcPr>
            <w:tcW w:w="3544" w:type="dxa"/>
            <w:tcBorders>
              <w:left w:val="single" w:sz="4" w:space="0" w:color="5B9BD5" w:themeColor="accent5"/>
              <w:right w:val="single" w:sz="4" w:space="0" w:color="5B9BD5" w:themeColor="accent5"/>
            </w:tcBorders>
            <w:shd w:val="clear" w:color="auto" w:fill="DEEAF6" w:themeFill="accent5" w:themeFillTint="33"/>
          </w:tcPr>
          <w:p w14:paraId="009C5F1F" w14:textId="3DA0A3A5" w:rsidR="00FD5324" w:rsidRPr="00FD5324" w:rsidRDefault="00DB010A" w:rsidP="005B1EB4">
            <w:pPr>
              <w:spacing w:before="0" w:after="20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r>
              <w:rPr>
                <w:rFonts w:asciiTheme="minorBidi" w:hAnsiTheme="minorBidi" w:cstheme="minorBidi"/>
                <w:color w:val="auto"/>
              </w:rPr>
              <w:t>Hymans Robertson</w:t>
            </w:r>
            <w:r w:rsidRPr="00FD5324">
              <w:rPr>
                <w:rFonts w:asciiTheme="minorBidi" w:hAnsiTheme="minorBidi" w:cstheme="minorBidi"/>
                <w:color w:val="auto"/>
              </w:rPr>
              <w:t xml:space="preserve"> &amp; External Parties</w:t>
            </w:r>
          </w:p>
        </w:tc>
        <w:tc>
          <w:tcPr>
            <w:tcW w:w="1559" w:type="dxa"/>
            <w:vMerge/>
            <w:tcBorders>
              <w:left w:val="single" w:sz="4" w:space="0" w:color="5B9BD5" w:themeColor="accent5"/>
              <w:right w:val="single" w:sz="4" w:space="0" w:color="5B9BD5" w:themeColor="accent5"/>
            </w:tcBorders>
            <w:shd w:val="clear" w:color="auto" w:fill="DEEAF6" w:themeFill="accent5" w:themeFillTint="33"/>
          </w:tcPr>
          <w:p w14:paraId="09F9DED0" w14:textId="77777777" w:rsidR="00FD5324" w:rsidRPr="00FD5324" w:rsidRDefault="00FD5324" w:rsidP="005B1EB4">
            <w:pPr>
              <w:spacing w:after="200"/>
              <w:jc w:val="lef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p>
        </w:tc>
      </w:tr>
      <w:tr w:rsidR="0011122C" w:rsidRPr="00887818" w14:paraId="52DB5E32" w14:textId="77777777" w:rsidTr="0011122C">
        <w:trPr>
          <w:trHeight w:hRule="exact" w:val="559"/>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DEEAF6" w:themeFill="accent5" w:themeFillTint="33"/>
          </w:tcPr>
          <w:p w14:paraId="77635E26" w14:textId="5B0EDD8F" w:rsidR="0011122C" w:rsidRPr="009D0773" w:rsidRDefault="0011122C" w:rsidP="00FD5324">
            <w:pPr>
              <w:pStyle w:val="Default"/>
              <w:numPr>
                <w:ilvl w:val="0"/>
                <w:numId w:val="2"/>
              </w:numPr>
              <w:ind w:left="459"/>
              <w:rPr>
                <w:rFonts w:asciiTheme="minorBidi" w:hAnsiTheme="minorBidi" w:cstheme="minorBidi"/>
                <w:b w:val="0"/>
                <w:bCs w:val="0"/>
                <w:sz w:val="20"/>
                <w:szCs w:val="20"/>
              </w:rPr>
            </w:pPr>
            <w:r w:rsidRPr="009D0773">
              <w:rPr>
                <w:rFonts w:asciiTheme="minorBidi" w:hAnsiTheme="minorBidi" w:cstheme="minorBidi"/>
                <w:b w:val="0"/>
                <w:bCs w:val="0"/>
                <w:sz w:val="20"/>
                <w:szCs w:val="20"/>
              </w:rPr>
              <w:t xml:space="preserve">Climate Risk </w:t>
            </w:r>
          </w:p>
        </w:tc>
        <w:tc>
          <w:tcPr>
            <w:tcW w:w="3544" w:type="dxa"/>
            <w:tcBorders>
              <w:left w:val="single" w:sz="4" w:space="0" w:color="5B9BD5" w:themeColor="accent5"/>
              <w:right w:val="single" w:sz="4" w:space="0" w:color="5B9BD5" w:themeColor="accent5"/>
            </w:tcBorders>
            <w:shd w:val="clear" w:color="auto" w:fill="DEEAF6" w:themeFill="accent5" w:themeFillTint="33"/>
          </w:tcPr>
          <w:p w14:paraId="3A1FBF82" w14:textId="2FD4FFE3" w:rsidR="0011122C" w:rsidRDefault="0011122C" w:rsidP="00FD5324">
            <w:pPr>
              <w:spacing w:before="0" w:after="200"/>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Hymans Robertson</w:t>
            </w:r>
          </w:p>
        </w:tc>
        <w:tc>
          <w:tcPr>
            <w:tcW w:w="1559" w:type="dxa"/>
            <w:vMerge/>
            <w:tcBorders>
              <w:left w:val="single" w:sz="4" w:space="0" w:color="5B9BD5" w:themeColor="accent5"/>
              <w:right w:val="single" w:sz="4" w:space="0" w:color="5B9BD5" w:themeColor="accent5"/>
            </w:tcBorders>
            <w:shd w:val="clear" w:color="auto" w:fill="DEEAF6" w:themeFill="accent5" w:themeFillTint="33"/>
          </w:tcPr>
          <w:p w14:paraId="6F02A0AF" w14:textId="77777777" w:rsidR="0011122C" w:rsidRPr="00FD5324" w:rsidRDefault="0011122C" w:rsidP="005B1EB4">
            <w:pPr>
              <w:spacing w:after="200"/>
              <w:jc w:val="lef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rPr>
            </w:pPr>
          </w:p>
        </w:tc>
      </w:tr>
      <w:tr w:rsidR="00FD5324" w:rsidRPr="00887818" w14:paraId="0A00C853" w14:textId="77777777" w:rsidTr="00DB010A">
        <w:trPr>
          <w:cnfStyle w:val="000000100000" w:firstRow="0" w:lastRow="0" w:firstColumn="0" w:lastColumn="0" w:oddVBand="0" w:evenVBand="0" w:oddHBand="1" w:evenHBand="0" w:firstRowFirstColumn="0" w:firstRowLastColumn="0" w:lastRowFirstColumn="0" w:lastRowLastColumn="0"/>
          <w:trHeight w:hRule="exact" w:val="984"/>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DEEAF6" w:themeFill="accent5" w:themeFillTint="33"/>
          </w:tcPr>
          <w:p w14:paraId="19A7B397" w14:textId="6981FA5A" w:rsidR="00FD5324" w:rsidRPr="00FD5324" w:rsidRDefault="00FD5324" w:rsidP="00FD5324">
            <w:pPr>
              <w:pStyle w:val="Default"/>
              <w:numPr>
                <w:ilvl w:val="0"/>
                <w:numId w:val="2"/>
              </w:numPr>
              <w:ind w:left="459"/>
              <w:rPr>
                <w:rFonts w:asciiTheme="minorBidi" w:hAnsiTheme="minorBidi" w:cstheme="minorBidi"/>
                <w:b w:val="0"/>
                <w:bCs w:val="0"/>
                <w:color w:val="auto"/>
                <w:sz w:val="20"/>
                <w:szCs w:val="20"/>
              </w:rPr>
            </w:pPr>
            <w:r w:rsidRPr="00FD5324">
              <w:rPr>
                <w:rFonts w:asciiTheme="minorBidi" w:hAnsiTheme="minorBidi" w:cstheme="minorBidi"/>
                <w:b w:val="0"/>
                <w:bCs w:val="0"/>
                <w:sz w:val="20"/>
                <w:szCs w:val="20"/>
              </w:rPr>
              <w:t>Assets Classes - Alternatives</w:t>
            </w:r>
          </w:p>
          <w:p w14:paraId="64602609" w14:textId="77777777" w:rsidR="00FD5324" w:rsidRDefault="00FD5324" w:rsidP="00FD5324">
            <w:pPr>
              <w:spacing w:after="200"/>
              <w:ind w:left="459"/>
              <w:jc w:val="left"/>
              <w:rPr>
                <w:rFonts w:asciiTheme="minorBidi" w:hAnsiTheme="minorBidi" w:cstheme="minorBidi"/>
                <w:color w:val="auto"/>
              </w:rPr>
            </w:pPr>
          </w:p>
          <w:p w14:paraId="32F242D7" w14:textId="77777777" w:rsidR="00DB010A" w:rsidRDefault="00DB010A" w:rsidP="00FD5324">
            <w:pPr>
              <w:spacing w:after="200"/>
              <w:ind w:left="459"/>
              <w:jc w:val="left"/>
              <w:rPr>
                <w:rFonts w:asciiTheme="minorBidi" w:hAnsiTheme="minorBidi" w:cstheme="minorBidi"/>
                <w:color w:val="auto"/>
              </w:rPr>
            </w:pPr>
          </w:p>
          <w:p w14:paraId="6E869E49" w14:textId="57A0127E" w:rsidR="00DB010A" w:rsidRPr="00FD5324" w:rsidRDefault="00DB010A" w:rsidP="00FD5324">
            <w:pPr>
              <w:spacing w:after="200"/>
              <w:ind w:left="459"/>
              <w:jc w:val="left"/>
              <w:rPr>
                <w:rFonts w:asciiTheme="minorBidi" w:hAnsiTheme="minorBidi" w:cstheme="minorBidi"/>
                <w:b w:val="0"/>
                <w:bCs w:val="0"/>
                <w:color w:val="auto"/>
              </w:rPr>
            </w:pPr>
          </w:p>
        </w:tc>
        <w:tc>
          <w:tcPr>
            <w:tcW w:w="3544" w:type="dxa"/>
            <w:tcBorders>
              <w:left w:val="single" w:sz="4" w:space="0" w:color="5B9BD5" w:themeColor="accent5"/>
              <w:right w:val="single" w:sz="4" w:space="0" w:color="5B9BD5" w:themeColor="accent5"/>
            </w:tcBorders>
            <w:shd w:val="clear" w:color="auto" w:fill="DEEAF6" w:themeFill="accent5" w:themeFillTint="33"/>
          </w:tcPr>
          <w:p w14:paraId="3D7342B7" w14:textId="5CD60A1E" w:rsidR="00FD5324" w:rsidRPr="00FD5324" w:rsidRDefault="00DB010A" w:rsidP="00FD5324">
            <w:pPr>
              <w:spacing w:before="0" w:after="200"/>
              <w:jc w:val="lef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r>
              <w:rPr>
                <w:color w:val="auto"/>
              </w:rPr>
              <w:t xml:space="preserve">Link / </w:t>
            </w:r>
            <w:r w:rsidRPr="00887818">
              <w:rPr>
                <w:color w:val="auto"/>
              </w:rPr>
              <w:t>Russell Investments</w:t>
            </w:r>
            <w:r>
              <w:rPr>
                <w:color w:val="auto"/>
              </w:rPr>
              <w:t xml:space="preserve"> </w:t>
            </w:r>
            <w:r w:rsidRPr="00887818">
              <w:rPr>
                <w:color w:val="auto"/>
              </w:rPr>
              <w:t>/ Investment</w:t>
            </w:r>
            <w:r>
              <w:rPr>
                <w:color w:val="auto"/>
              </w:rPr>
              <w:t xml:space="preserve"> </w:t>
            </w:r>
            <w:r w:rsidRPr="00887818">
              <w:rPr>
                <w:color w:val="auto"/>
              </w:rPr>
              <w:t xml:space="preserve">Managers &amp; </w:t>
            </w:r>
            <w:r>
              <w:rPr>
                <w:color w:val="auto"/>
              </w:rPr>
              <w:t>Hymans Robertson</w:t>
            </w:r>
          </w:p>
        </w:tc>
        <w:tc>
          <w:tcPr>
            <w:tcW w:w="1559" w:type="dxa"/>
            <w:vMerge/>
            <w:tcBorders>
              <w:left w:val="single" w:sz="4" w:space="0" w:color="5B9BD5" w:themeColor="accent5"/>
              <w:right w:val="single" w:sz="4" w:space="0" w:color="5B9BD5" w:themeColor="accent5"/>
            </w:tcBorders>
            <w:shd w:val="clear" w:color="auto" w:fill="DEEAF6" w:themeFill="accent5" w:themeFillTint="33"/>
          </w:tcPr>
          <w:p w14:paraId="09D34B6A" w14:textId="77777777" w:rsidR="00FD5324" w:rsidRPr="00FD5324" w:rsidRDefault="00FD5324" w:rsidP="005B1EB4">
            <w:pPr>
              <w:spacing w:after="200"/>
              <w:jc w:val="lef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p>
        </w:tc>
      </w:tr>
      <w:tr w:rsidR="00563417" w:rsidRPr="00887818" w14:paraId="7E056712" w14:textId="77777777" w:rsidTr="00DA504E">
        <w:trPr>
          <w:trHeight w:hRule="exact" w:val="519"/>
        </w:trPr>
        <w:tc>
          <w:tcPr>
            <w:cnfStyle w:val="001000000000" w:firstRow="0" w:lastRow="0" w:firstColumn="1" w:lastColumn="0" w:oddVBand="0" w:evenVBand="0" w:oddHBand="0" w:evenHBand="0" w:firstRowFirstColumn="0" w:firstRowLastColumn="0" w:lastRowFirstColumn="0" w:lastRowLastColumn="0"/>
            <w:tcW w:w="9923" w:type="dxa"/>
            <w:gridSpan w:val="3"/>
            <w:tcBorders>
              <w:left w:val="single" w:sz="4" w:space="0" w:color="5B9BD5" w:themeColor="accent5"/>
              <w:right w:val="single" w:sz="4" w:space="0" w:color="5B9BD5" w:themeColor="accent5"/>
            </w:tcBorders>
            <w:shd w:val="clear" w:color="auto" w:fill="auto"/>
          </w:tcPr>
          <w:p w14:paraId="5CE95241" w14:textId="5449AC1E" w:rsidR="00563417" w:rsidRPr="00FD5324" w:rsidRDefault="00563417" w:rsidP="005B1EB4">
            <w:pPr>
              <w:spacing w:after="200"/>
              <w:jc w:val="left"/>
              <w:rPr>
                <w:rFonts w:asciiTheme="minorBidi" w:hAnsiTheme="minorBidi" w:cstheme="minorBidi"/>
                <w:b w:val="0"/>
                <w:bCs w:val="0"/>
                <w:color w:val="auto"/>
              </w:rPr>
            </w:pPr>
            <w:r w:rsidRPr="00FD5324">
              <w:rPr>
                <w:color w:val="auto"/>
              </w:rPr>
              <w:t>Review Process</w:t>
            </w:r>
          </w:p>
        </w:tc>
      </w:tr>
      <w:tr w:rsidR="00563417" w:rsidRPr="00887818" w14:paraId="54D40CF7" w14:textId="77777777" w:rsidTr="00DA504E">
        <w:trPr>
          <w:cnfStyle w:val="000000100000" w:firstRow="0" w:lastRow="0" w:firstColumn="0" w:lastColumn="0" w:oddVBand="0" w:evenVBand="0" w:oddHBand="1" w:evenHBand="0" w:firstRowFirstColumn="0" w:firstRowLastColumn="0" w:lastRowFirstColumn="0" w:lastRowLastColumn="0"/>
          <w:trHeight w:hRule="exact" w:val="614"/>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auto"/>
          </w:tcPr>
          <w:p w14:paraId="6A423474" w14:textId="6A456BA3" w:rsidR="00563417" w:rsidRPr="00563417" w:rsidRDefault="00563417" w:rsidP="00563417">
            <w:pPr>
              <w:pStyle w:val="Default"/>
              <w:numPr>
                <w:ilvl w:val="0"/>
                <w:numId w:val="2"/>
              </w:numPr>
              <w:ind w:left="459"/>
              <w:rPr>
                <w:rFonts w:asciiTheme="minorBidi" w:hAnsiTheme="minorBidi" w:cstheme="minorBidi"/>
                <w:b w:val="0"/>
                <w:bCs w:val="0"/>
                <w:sz w:val="20"/>
                <w:szCs w:val="20"/>
              </w:rPr>
            </w:pPr>
            <w:r w:rsidRPr="00563417">
              <w:rPr>
                <w:rFonts w:asciiTheme="minorBidi" w:hAnsiTheme="minorBidi" w:cstheme="minorBidi"/>
                <w:b w:val="0"/>
                <w:bCs w:val="0"/>
                <w:sz w:val="20"/>
                <w:szCs w:val="20"/>
              </w:rPr>
              <w:t xml:space="preserve">Decision Logging </w:t>
            </w:r>
          </w:p>
          <w:p w14:paraId="3050071D" w14:textId="77DDE3F5" w:rsidR="00563417" w:rsidRPr="00563417" w:rsidRDefault="00563417" w:rsidP="005B1EB4">
            <w:pPr>
              <w:spacing w:after="200"/>
              <w:jc w:val="left"/>
              <w:rPr>
                <w:rFonts w:asciiTheme="minorBidi" w:hAnsiTheme="minorBidi" w:cstheme="minorBidi"/>
                <w:b w:val="0"/>
                <w:bCs w:val="0"/>
                <w:color w:val="auto"/>
              </w:rPr>
            </w:pPr>
          </w:p>
        </w:tc>
        <w:tc>
          <w:tcPr>
            <w:tcW w:w="3544" w:type="dxa"/>
            <w:tcBorders>
              <w:left w:val="single" w:sz="4" w:space="0" w:color="5B9BD5" w:themeColor="accent5"/>
              <w:right w:val="single" w:sz="4" w:space="0" w:color="5B9BD5" w:themeColor="accent5"/>
            </w:tcBorders>
            <w:shd w:val="clear" w:color="auto" w:fill="auto"/>
          </w:tcPr>
          <w:p w14:paraId="01253513" w14:textId="4051CAAA" w:rsidR="00563417" w:rsidRPr="00563417" w:rsidRDefault="00563417" w:rsidP="00563417">
            <w:pPr>
              <w:pStyle w:val="Default"/>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szCs w:val="20"/>
              </w:rPr>
            </w:pPr>
            <w:r w:rsidRPr="00563417">
              <w:rPr>
                <w:rFonts w:asciiTheme="minorBidi" w:hAnsiTheme="minorBidi" w:cstheme="minorBidi"/>
                <w:sz w:val="20"/>
                <w:szCs w:val="20"/>
              </w:rPr>
              <w:t xml:space="preserve">Host Authority &amp; </w:t>
            </w:r>
            <w:r w:rsidR="00DB010A">
              <w:rPr>
                <w:rFonts w:asciiTheme="minorBidi" w:hAnsiTheme="minorBidi" w:cstheme="minorBidi"/>
                <w:sz w:val="20"/>
                <w:szCs w:val="20"/>
              </w:rPr>
              <w:t>Hymans Robertson</w:t>
            </w:r>
          </w:p>
          <w:p w14:paraId="092DBAD5" w14:textId="77777777" w:rsidR="00563417" w:rsidRPr="00563417" w:rsidRDefault="00563417" w:rsidP="005B1EB4">
            <w:pPr>
              <w:spacing w:before="0" w:after="20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p>
        </w:tc>
        <w:tc>
          <w:tcPr>
            <w:tcW w:w="1559" w:type="dxa"/>
            <w:vMerge w:val="restart"/>
            <w:tcBorders>
              <w:left w:val="single" w:sz="4" w:space="0" w:color="5B9BD5" w:themeColor="accent5"/>
              <w:right w:val="single" w:sz="4" w:space="0" w:color="5B9BD5" w:themeColor="accent5"/>
            </w:tcBorders>
            <w:shd w:val="clear" w:color="auto" w:fill="auto"/>
          </w:tcPr>
          <w:p w14:paraId="2D08B0B7" w14:textId="4C1B970B" w:rsidR="00563417" w:rsidRDefault="00563417" w:rsidP="00563417">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r>
              <w:rPr>
                <w:rFonts w:asciiTheme="minorBidi" w:hAnsiTheme="minorBidi" w:cstheme="minorBidi"/>
                <w:color w:val="auto"/>
              </w:rPr>
              <w:t>Q3</w:t>
            </w:r>
          </w:p>
          <w:p w14:paraId="3A6521F2" w14:textId="15C44E57" w:rsidR="00563417" w:rsidRPr="00563417" w:rsidRDefault="00563417" w:rsidP="00563417">
            <w:pPr>
              <w:spacing w:after="20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r>
              <w:rPr>
                <w:rFonts w:asciiTheme="minorBidi" w:hAnsiTheme="minorBidi" w:cstheme="minorBidi"/>
                <w:color w:val="auto"/>
              </w:rPr>
              <w:t>Oct</w:t>
            </w:r>
            <w:r w:rsidR="00DA504E">
              <w:rPr>
                <w:rFonts w:asciiTheme="minorBidi" w:hAnsiTheme="minorBidi" w:cstheme="minorBidi"/>
                <w:color w:val="auto"/>
              </w:rPr>
              <w:t>ober</w:t>
            </w:r>
            <w:r>
              <w:rPr>
                <w:rFonts w:asciiTheme="minorBidi" w:hAnsiTheme="minorBidi" w:cstheme="minorBidi"/>
                <w:color w:val="auto"/>
              </w:rPr>
              <w:t xml:space="preserve"> – Dec</w:t>
            </w:r>
            <w:r w:rsidR="00DA504E">
              <w:rPr>
                <w:rFonts w:asciiTheme="minorBidi" w:hAnsiTheme="minorBidi" w:cstheme="minorBidi"/>
                <w:color w:val="auto"/>
              </w:rPr>
              <w:t>ember</w:t>
            </w:r>
            <w:r>
              <w:rPr>
                <w:rFonts w:asciiTheme="minorBidi" w:hAnsiTheme="minorBidi" w:cstheme="minorBidi"/>
                <w:color w:val="auto"/>
              </w:rPr>
              <w:t xml:space="preserve"> 2020</w:t>
            </w:r>
          </w:p>
        </w:tc>
      </w:tr>
      <w:tr w:rsidR="00563417" w:rsidRPr="00887818" w14:paraId="4547015F" w14:textId="77777777" w:rsidTr="00DA504E">
        <w:trPr>
          <w:trHeight w:hRule="exact" w:val="695"/>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auto"/>
          </w:tcPr>
          <w:p w14:paraId="65C7DF60" w14:textId="77777777" w:rsidR="00563417" w:rsidRPr="00563417" w:rsidRDefault="00563417" w:rsidP="00563417">
            <w:pPr>
              <w:pStyle w:val="Default"/>
              <w:numPr>
                <w:ilvl w:val="0"/>
                <w:numId w:val="2"/>
              </w:numPr>
              <w:ind w:left="459"/>
              <w:rPr>
                <w:rFonts w:asciiTheme="minorBidi" w:hAnsiTheme="minorBidi" w:cstheme="minorBidi"/>
                <w:b w:val="0"/>
                <w:bCs w:val="0"/>
                <w:sz w:val="20"/>
                <w:szCs w:val="20"/>
              </w:rPr>
            </w:pPr>
            <w:r w:rsidRPr="00563417">
              <w:rPr>
                <w:rFonts w:asciiTheme="minorBidi" w:hAnsiTheme="minorBidi" w:cstheme="minorBidi"/>
                <w:b w:val="0"/>
                <w:bCs w:val="0"/>
                <w:sz w:val="20"/>
                <w:szCs w:val="20"/>
              </w:rPr>
              <w:t xml:space="preserve">Identifying lessons to be learnt </w:t>
            </w:r>
          </w:p>
          <w:p w14:paraId="66024794" w14:textId="77777777" w:rsidR="00563417" w:rsidRPr="00563417" w:rsidRDefault="00563417" w:rsidP="005B1EB4">
            <w:pPr>
              <w:spacing w:after="200"/>
              <w:jc w:val="left"/>
              <w:rPr>
                <w:rFonts w:asciiTheme="minorBidi" w:hAnsiTheme="minorBidi" w:cstheme="minorBidi"/>
                <w:b w:val="0"/>
                <w:bCs w:val="0"/>
                <w:color w:val="auto"/>
              </w:rPr>
            </w:pPr>
          </w:p>
        </w:tc>
        <w:tc>
          <w:tcPr>
            <w:tcW w:w="3544" w:type="dxa"/>
            <w:tcBorders>
              <w:left w:val="single" w:sz="4" w:space="0" w:color="5B9BD5" w:themeColor="accent5"/>
              <w:right w:val="single" w:sz="4" w:space="0" w:color="5B9BD5" w:themeColor="accent5"/>
            </w:tcBorders>
            <w:shd w:val="clear" w:color="auto" w:fill="auto"/>
          </w:tcPr>
          <w:p w14:paraId="66E3DA8E" w14:textId="77777777" w:rsidR="00DB010A" w:rsidRPr="00563417" w:rsidRDefault="00DB010A" w:rsidP="00DB010A">
            <w:pPr>
              <w:pStyle w:val="Default"/>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szCs w:val="20"/>
              </w:rPr>
            </w:pPr>
            <w:r w:rsidRPr="00563417">
              <w:rPr>
                <w:rFonts w:asciiTheme="minorBidi" w:hAnsiTheme="minorBidi" w:cstheme="minorBidi"/>
                <w:sz w:val="20"/>
                <w:szCs w:val="20"/>
              </w:rPr>
              <w:t xml:space="preserve">Host Authority &amp; </w:t>
            </w:r>
            <w:r>
              <w:rPr>
                <w:rFonts w:asciiTheme="minorBidi" w:hAnsiTheme="minorBidi" w:cstheme="minorBidi"/>
                <w:sz w:val="20"/>
                <w:szCs w:val="20"/>
              </w:rPr>
              <w:t>Hymans Robertson</w:t>
            </w:r>
          </w:p>
          <w:p w14:paraId="0080EF88" w14:textId="77777777" w:rsidR="00563417" w:rsidRPr="00563417" w:rsidRDefault="00563417" w:rsidP="005B1EB4">
            <w:pPr>
              <w:spacing w:before="0" w:after="20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rPr>
            </w:pPr>
          </w:p>
        </w:tc>
        <w:tc>
          <w:tcPr>
            <w:tcW w:w="1559" w:type="dxa"/>
            <w:vMerge/>
            <w:tcBorders>
              <w:left w:val="single" w:sz="4" w:space="0" w:color="5B9BD5" w:themeColor="accent5"/>
              <w:right w:val="single" w:sz="4" w:space="0" w:color="5B9BD5" w:themeColor="accent5"/>
            </w:tcBorders>
            <w:shd w:val="clear" w:color="auto" w:fill="DEEAF6" w:themeFill="accent5" w:themeFillTint="33"/>
          </w:tcPr>
          <w:p w14:paraId="6D71E40F" w14:textId="77777777" w:rsidR="00563417" w:rsidRPr="00563417" w:rsidRDefault="00563417" w:rsidP="005B1EB4">
            <w:pPr>
              <w:spacing w:after="200"/>
              <w:jc w:val="lef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rPr>
            </w:pPr>
          </w:p>
        </w:tc>
      </w:tr>
      <w:tr w:rsidR="00563417" w:rsidRPr="00887818" w14:paraId="4332AA6F" w14:textId="77777777" w:rsidTr="00DA504E">
        <w:trPr>
          <w:cnfStyle w:val="000000100000" w:firstRow="0" w:lastRow="0" w:firstColumn="0" w:lastColumn="0" w:oddVBand="0" w:evenVBand="0" w:oddHBand="1" w:evenHBand="0" w:firstRowFirstColumn="0" w:firstRowLastColumn="0" w:lastRowFirstColumn="0" w:lastRowLastColumn="0"/>
          <w:trHeight w:hRule="exact" w:val="519"/>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DEEAF6" w:themeFill="accent5" w:themeFillTint="33"/>
          </w:tcPr>
          <w:p w14:paraId="493F4477" w14:textId="5A48F6E4" w:rsidR="00563417" w:rsidRPr="00563417" w:rsidRDefault="00563417" w:rsidP="00563417">
            <w:pPr>
              <w:pStyle w:val="Default"/>
              <w:rPr>
                <w:rFonts w:asciiTheme="minorBidi" w:hAnsiTheme="minorBidi" w:cstheme="minorBidi"/>
                <w:sz w:val="20"/>
                <w:szCs w:val="20"/>
              </w:rPr>
            </w:pPr>
            <w:r>
              <w:rPr>
                <w:rFonts w:asciiTheme="minorBidi" w:hAnsiTheme="minorBidi" w:cstheme="minorBidi"/>
                <w:sz w:val="20"/>
                <w:szCs w:val="20"/>
              </w:rPr>
              <w:t>Regulatory Requirements</w:t>
            </w:r>
          </w:p>
        </w:tc>
        <w:tc>
          <w:tcPr>
            <w:tcW w:w="3544" w:type="dxa"/>
            <w:tcBorders>
              <w:left w:val="single" w:sz="4" w:space="0" w:color="5B9BD5" w:themeColor="accent5"/>
              <w:right w:val="single" w:sz="4" w:space="0" w:color="5B9BD5" w:themeColor="accent5"/>
            </w:tcBorders>
            <w:shd w:val="clear" w:color="auto" w:fill="DEEAF6" w:themeFill="accent5" w:themeFillTint="33"/>
          </w:tcPr>
          <w:p w14:paraId="1B32707C" w14:textId="77777777" w:rsidR="00563417" w:rsidRPr="00563417" w:rsidRDefault="00563417" w:rsidP="00563417">
            <w:pPr>
              <w:pStyle w:val="Default"/>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szCs w:val="20"/>
              </w:rPr>
            </w:pPr>
          </w:p>
        </w:tc>
        <w:tc>
          <w:tcPr>
            <w:tcW w:w="1559" w:type="dxa"/>
            <w:tcBorders>
              <w:left w:val="single" w:sz="4" w:space="0" w:color="5B9BD5" w:themeColor="accent5"/>
              <w:right w:val="single" w:sz="4" w:space="0" w:color="5B9BD5" w:themeColor="accent5"/>
            </w:tcBorders>
            <w:shd w:val="clear" w:color="auto" w:fill="DEEAF6" w:themeFill="accent5" w:themeFillTint="33"/>
          </w:tcPr>
          <w:p w14:paraId="7912040F" w14:textId="77777777" w:rsidR="00563417" w:rsidRPr="00563417" w:rsidRDefault="00563417" w:rsidP="005B1EB4">
            <w:pPr>
              <w:spacing w:after="200"/>
              <w:jc w:val="lef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p>
        </w:tc>
      </w:tr>
      <w:tr w:rsidR="00DA504E" w:rsidRPr="00DA504E" w14:paraId="2419B0A7" w14:textId="77777777" w:rsidTr="00DA504E">
        <w:trPr>
          <w:trHeight w:hRule="exact" w:val="627"/>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DEEAF6" w:themeFill="accent5" w:themeFillTint="33"/>
          </w:tcPr>
          <w:p w14:paraId="09C14F40" w14:textId="41AE3606" w:rsidR="00DA504E" w:rsidRPr="00DA504E" w:rsidRDefault="00DA504E" w:rsidP="00DA504E">
            <w:pPr>
              <w:pStyle w:val="Default"/>
              <w:numPr>
                <w:ilvl w:val="0"/>
                <w:numId w:val="2"/>
              </w:numPr>
              <w:ind w:left="459"/>
              <w:rPr>
                <w:rFonts w:asciiTheme="minorBidi" w:hAnsiTheme="minorBidi" w:cstheme="minorBidi"/>
                <w:b w:val="0"/>
                <w:bCs w:val="0"/>
                <w:sz w:val="20"/>
                <w:szCs w:val="20"/>
              </w:rPr>
            </w:pPr>
            <w:r w:rsidRPr="00DA504E">
              <w:rPr>
                <w:rFonts w:asciiTheme="minorBidi" w:hAnsiTheme="minorBidi" w:cstheme="minorBidi"/>
                <w:b w:val="0"/>
                <w:bCs w:val="0"/>
                <w:sz w:val="20"/>
                <w:szCs w:val="20"/>
              </w:rPr>
              <w:t>Transparency Requirements</w:t>
            </w:r>
          </w:p>
        </w:tc>
        <w:tc>
          <w:tcPr>
            <w:tcW w:w="3544" w:type="dxa"/>
            <w:tcBorders>
              <w:left w:val="single" w:sz="4" w:space="0" w:color="5B9BD5" w:themeColor="accent5"/>
              <w:right w:val="single" w:sz="4" w:space="0" w:color="5B9BD5" w:themeColor="accent5"/>
            </w:tcBorders>
            <w:shd w:val="clear" w:color="auto" w:fill="DEEAF6" w:themeFill="accent5" w:themeFillTint="33"/>
          </w:tcPr>
          <w:p w14:paraId="580A0571" w14:textId="39AC933A" w:rsidR="00DA504E" w:rsidRPr="00DB010A" w:rsidRDefault="00DB010A" w:rsidP="00DA504E">
            <w:pPr>
              <w:pStyle w:val="Default"/>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0"/>
                <w:szCs w:val="20"/>
              </w:rPr>
            </w:pPr>
            <w:r w:rsidRPr="00DB010A">
              <w:rPr>
                <w:rFonts w:asciiTheme="minorBidi" w:hAnsiTheme="minorBidi" w:cstheme="minorBidi"/>
                <w:color w:val="auto"/>
                <w:sz w:val="20"/>
                <w:szCs w:val="20"/>
              </w:rPr>
              <w:t>Hymans Robertson &amp; External Parties</w:t>
            </w:r>
          </w:p>
        </w:tc>
        <w:tc>
          <w:tcPr>
            <w:tcW w:w="1559" w:type="dxa"/>
            <w:vMerge w:val="restart"/>
            <w:tcBorders>
              <w:left w:val="single" w:sz="4" w:space="0" w:color="5B9BD5" w:themeColor="accent5"/>
              <w:right w:val="single" w:sz="4" w:space="0" w:color="5B9BD5" w:themeColor="accent5"/>
            </w:tcBorders>
            <w:shd w:val="clear" w:color="auto" w:fill="DEEAF6" w:themeFill="accent5" w:themeFillTint="33"/>
          </w:tcPr>
          <w:p w14:paraId="771ED5A0" w14:textId="68B66EB7" w:rsidR="00DA504E" w:rsidRPr="00DA504E" w:rsidRDefault="00DA504E" w:rsidP="00DA504E">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rPr>
            </w:pPr>
            <w:r w:rsidRPr="00DA504E">
              <w:rPr>
                <w:rFonts w:asciiTheme="minorBidi" w:hAnsiTheme="minorBidi" w:cstheme="minorBidi"/>
                <w:color w:val="auto"/>
              </w:rPr>
              <w:t>Q4</w:t>
            </w:r>
          </w:p>
          <w:p w14:paraId="137FACED" w14:textId="792C6BFF" w:rsidR="00DA504E" w:rsidRPr="00DA504E" w:rsidRDefault="00DA504E" w:rsidP="00DA504E">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auto"/>
              </w:rPr>
            </w:pPr>
            <w:r w:rsidRPr="00DA504E">
              <w:rPr>
                <w:rFonts w:asciiTheme="minorBidi" w:hAnsiTheme="minorBidi" w:cstheme="minorBidi"/>
                <w:color w:val="auto"/>
              </w:rPr>
              <w:t>Jan</w:t>
            </w:r>
            <w:r>
              <w:rPr>
                <w:rFonts w:asciiTheme="minorBidi" w:hAnsiTheme="minorBidi" w:cstheme="minorBidi"/>
                <w:color w:val="auto"/>
              </w:rPr>
              <w:t>uary</w:t>
            </w:r>
            <w:r w:rsidRPr="00DA504E">
              <w:rPr>
                <w:rFonts w:asciiTheme="minorBidi" w:hAnsiTheme="minorBidi" w:cstheme="minorBidi"/>
                <w:color w:val="auto"/>
              </w:rPr>
              <w:t xml:space="preserve"> – M</w:t>
            </w:r>
            <w:r>
              <w:rPr>
                <w:rFonts w:asciiTheme="minorBidi" w:hAnsiTheme="minorBidi" w:cstheme="minorBidi"/>
                <w:color w:val="auto"/>
              </w:rPr>
              <w:t>ar</w:t>
            </w:r>
            <w:r w:rsidRPr="00DA504E">
              <w:rPr>
                <w:rFonts w:asciiTheme="minorBidi" w:hAnsiTheme="minorBidi" w:cstheme="minorBidi"/>
                <w:color w:val="auto"/>
              </w:rPr>
              <w:t>ch 2021</w:t>
            </w:r>
          </w:p>
        </w:tc>
      </w:tr>
      <w:tr w:rsidR="00DB010A" w:rsidRPr="00DA504E" w14:paraId="71EF3F51" w14:textId="77777777" w:rsidTr="00DA504E">
        <w:trPr>
          <w:cnfStyle w:val="000000100000" w:firstRow="0" w:lastRow="0" w:firstColumn="0" w:lastColumn="0" w:oddVBand="0" w:evenVBand="0" w:oddHBand="1"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4820" w:type="dxa"/>
            <w:tcBorders>
              <w:left w:val="single" w:sz="4" w:space="0" w:color="5B9BD5" w:themeColor="accent5"/>
              <w:right w:val="single" w:sz="4" w:space="0" w:color="5B9BD5" w:themeColor="accent5"/>
            </w:tcBorders>
            <w:shd w:val="clear" w:color="auto" w:fill="DEEAF6" w:themeFill="accent5" w:themeFillTint="33"/>
          </w:tcPr>
          <w:p w14:paraId="089AC51F" w14:textId="68CD1A40" w:rsidR="00DB010A" w:rsidRPr="00DA504E" w:rsidRDefault="00DB010A" w:rsidP="00DB010A">
            <w:pPr>
              <w:pStyle w:val="Default"/>
              <w:numPr>
                <w:ilvl w:val="0"/>
                <w:numId w:val="2"/>
              </w:numPr>
              <w:ind w:left="459"/>
              <w:rPr>
                <w:rFonts w:asciiTheme="minorBidi" w:hAnsiTheme="minorBidi" w:cstheme="minorBidi"/>
                <w:b w:val="0"/>
                <w:bCs w:val="0"/>
                <w:sz w:val="20"/>
                <w:szCs w:val="20"/>
              </w:rPr>
            </w:pPr>
            <w:r w:rsidRPr="00DA504E">
              <w:rPr>
                <w:rFonts w:asciiTheme="minorBidi" w:hAnsiTheme="minorBidi" w:cstheme="minorBidi"/>
                <w:b w:val="0"/>
                <w:bCs w:val="0"/>
                <w:sz w:val="20"/>
                <w:szCs w:val="20"/>
              </w:rPr>
              <w:t>Enacting guidance and regulation</w:t>
            </w:r>
          </w:p>
        </w:tc>
        <w:tc>
          <w:tcPr>
            <w:tcW w:w="3544" w:type="dxa"/>
            <w:tcBorders>
              <w:left w:val="single" w:sz="4" w:space="0" w:color="5B9BD5" w:themeColor="accent5"/>
              <w:right w:val="single" w:sz="4" w:space="0" w:color="5B9BD5" w:themeColor="accent5"/>
            </w:tcBorders>
            <w:shd w:val="clear" w:color="auto" w:fill="DEEAF6" w:themeFill="accent5" w:themeFillTint="33"/>
          </w:tcPr>
          <w:p w14:paraId="3488F08F" w14:textId="7061FC0D" w:rsidR="00DB010A" w:rsidRPr="00DA504E" w:rsidRDefault="00DB010A" w:rsidP="00DB010A">
            <w:pPr>
              <w:pStyle w:val="Default"/>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0"/>
                <w:szCs w:val="20"/>
              </w:rPr>
            </w:pPr>
            <w:r w:rsidRPr="00DB010A">
              <w:rPr>
                <w:rFonts w:asciiTheme="minorBidi" w:hAnsiTheme="minorBidi" w:cstheme="minorBidi"/>
                <w:color w:val="auto"/>
                <w:sz w:val="20"/>
                <w:szCs w:val="20"/>
              </w:rPr>
              <w:t xml:space="preserve">Hymans Robertson </w:t>
            </w:r>
          </w:p>
        </w:tc>
        <w:tc>
          <w:tcPr>
            <w:tcW w:w="1559" w:type="dxa"/>
            <w:vMerge/>
            <w:tcBorders>
              <w:left w:val="single" w:sz="4" w:space="0" w:color="5B9BD5" w:themeColor="accent5"/>
              <w:right w:val="single" w:sz="4" w:space="0" w:color="5B9BD5" w:themeColor="accent5"/>
            </w:tcBorders>
            <w:shd w:val="clear" w:color="auto" w:fill="auto"/>
          </w:tcPr>
          <w:p w14:paraId="04815D91" w14:textId="77777777" w:rsidR="00DB010A" w:rsidRPr="00DA504E" w:rsidRDefault="00DB010A" w:rsidP="00DB010A">
            <w:pPr>
              <w:spacing w:after="200"/>
              <w:jc w:val="lef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auto"/>
              </w:rPr>
            </w:pPr>
          </w:p>
        </w:tc>
      </w:tr>
    </w:tbl>
    <w:p w14:paraId="156777B6" w14:textId="77777777" w:rsidR="00A843F8" w:rsidRPr="00DA504E" w:rsidRDefault="00A843F8" w:rsidP="00F82655">
      <w:pPr>
        <w:pStyle w:val="BodyTextGrey"/>
        <w:rPr>
          <w:rFonts w:asciiTheme="minorBidi" w:hAnsiTheme="minorBidi" w:cstheme="minorBidi"/>
          <w:color w:val="auto"/>
        </w:rPr>
      </w:pPr>
    </w:p>
    <w:sectPr w:rsidR="00A843F8" w:rsidRPr="00DA504E" w:rsidSect="00887818">
      <w:headerReference w:type="default" r:id="rId8"/>
      <w:footerReference w:type="default" r:id="rId9"/>
      <w:pgSz w:w="11906" w:h="16838"/>
      <w:pgMar w:top="851" w:right="1080" w:bottom="1440" w:left="108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7018" w14:textId="77777777" w:rsidR="00887445" w:rsidRDefault="00887445" w:rsidP="00F82655">
      <w:pPr>
        <w:spacing w:before="0" w:line="240" w:lineRule="auto"/>
      </w:pPr>
      <w:r>
        <w:separator/>
      </w:r>
    </w:p>
  </w:endnote>
  <w:endnote w:type="continuationSeparator" w:id="0">
    <w:p w14:paraId="7C20FF1F" w14:textId="77777777" w:rsidR="00887445" w:rsidRDefault="00887445" w:rsidP="00F826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8D0F" w14:textId="121912FD" w:rsidR="00F82655" w:rsidRPr="00F82655" w:rsidRDefault="00FE130B" w:rsidP="00F82655">
    <w:pPr>
      <w:keepLines/>
      <w:pBdr>
        <w:top w:val="single" w:sz="2" w:space="8" w:color="646464"/>
      </w:pBdr>
      <w:spacing w:before="60" w:after="60" w:line="240" w:lineRule="auto"/>
      <w:ind w:left="28"/>
      <w:contextualSpacing/>
      <w:jc w:val="left"/>
      <w:rPr>
        <w:color w:val="4B4B4B"/>
      </w:rPr>
    </w:pPr>
    <w:r>
      <w:rPr>
        <w:color w:val="3FA6CC"/>
      </w:rPr>
      <w:t>January 2020</w:t>
    </w:r>
    <w:r w:rsidR="00F82655" w:rsidRPr="00F82655">
      <w:rPr>
        <w:color w:val="3FA6CC"/>
      </w:rPr>
      <w:ptab w:relativeTo="margin" w:alignment="right" w:leader="none"/>
    </w:r>
    <w:r w:rsidR="00F82655" w:rsidRPr="00F82655">
      <w:rPr>
        <w:color w:val="4B4B4B"/>
      </w:rPr>
      <w:fldChar w:fldCharType="begin"/>
    </w:r>
    <w:r w:rsidR="00F82655" w:rsidRPr="00F82655">
      <w:rPr>
        <w:color w:val="4B4B4B"/>
      </w:rPr>
      <w:instrText xml:space="preserve"> PAGE \# "00#" </w:instrText>
    </w:r>
    <w:r w:rsidR="00F82655" w:rsidRPr="00F82655">
      <w:rPr>
        <w:color w:val="4B4B4B"/>
      </w:rPr>
      <w:fldChar w:fldCharType="separate"/>
    </w:r>
    <w:r w:rsidR="00F82655" w:rsidRPr="00F82655">
      <w:rPr>
        <w:color w:val="4B4B4B"/>
      </w:rPr>
      <w:t>002</w:t>
    </w:r>
    <w:r w:rsidR="00F82655" w:rsidRPr="00F82655">
      <w:rPr>
        <w:color w:val="4B4B4B"/>
      </w:rPr>
      <w:fldChar w:fldCharType="end"/>
    </w:r>
  </w:p>
  <w:p w14:paraId="0ABF4435" w14:textId="574930BF" w:rsidR="00F82655" w:rsidRPr="00F82655" w:rsidRDefault="00F82655" w:rsidP="00F82655">
    <w:pPr>
      <w:keepNext/>
      <w:keepLines/>
      <w:spacing w:after="20"/>
      <w:jc w:val="left"/>
      <w:outlineLvl w:val="2"/>
      <w:rPr>
        <w:color w:val="3FA6CC"/>
        <w:sz w:val="13"/>
        <w:szCs w:val="13"/>
      </w:rPr>
    </w:pPr>
    <w:r w:rsidRPr="00F82655">
      <w:rPr>
        <w:color w:val="3FA6CC"/>
        <w:sz w:val="13"/>
        <w:szCs w:val="13"/>
      </w:rPr>
      <w:t>Wales Pension Partnership Training 20</w:t>
    </w:r>
    <w:r w:rsidR="00FE130B">
      <w:rPr>
        <w:color w:val="3FA6CC"/>
        <w:sz w:val="13"/>
        <w:szCs w:val="13"/>
      </w:rPr>
      <w:t>20</w:t>
    </w:r>
    <w:r w:rsidRPr="00F82655">
      <w:rPr>
        <w:color w:val="3FA6CC"/>
        <w:sz w:val="13"/>
        <w:szCs w:val="13"/>
      </w:rPr>
      <w:t>/202</w:t>
    </w:r>
    <w:r w:rsidR="00FE130B">
      <w:rPr>
        <w:color w:val="3FA6CC"/>
        <w:sz w:val="13"/>
        <w:szCs w:val="13"/>
      </w:rPr>
      <w:t>1</w:t>
    </w:r>
  </w:p>
  <w:p w14:paraId="66A84ADE" w14:textId="77777777" w:rsidR="00F82655" w:rsidRDefault="00F82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1042" w14:textId="77777777" w:rsidR="00887445" w:rsidRDefault="00887445" w:rsidP="00F82655">
      <w:pPr>
        <w:spacing w:before="0" w:line="240" w:lineRule="auto"/>
      </w:pPr>
      <w:r>
        <w:separator/>
      </w:r>
    </w:p>
  </w:footnote>
  <w:footnote w:type="continuationSeparator" w:id="0">
    <w:p w14:paraId="41496C1E" w14:textId="77777777" w:rsidR="00887445" w:rsidRDefault="00887445" w:rsidP="00F826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2DF8" w14:textId="695CEF10" w:rsidR="00F82655" w:rsidRPr="00F82655" w:rsidRDefault="00F82655" w:rsidP="00F82655">
    <w:pPr>
      <w:pStyle w:val="Heading1"/>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2C4A05"/>
    <w:multiLevelType w:val="hybridMultilevel"/>
    <w:tmpl w:val="358AE7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1F41E6"/>
    <w:multiLevelType w:val="multilevel"/>
    <w:tmpl w:val="3F0872AA"/>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6977ED"/>
    <w:multiLevelType w:val="hybridMultilevel"/>
    <w:tmpl w:val="C5362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8635C6"/>
    <w:multiLevelType w:val="hybridMultilevel"/>
    <w:tmpl w:val="2DC182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6C385E"/>
    <w:multiLevelType w:val="hybridMultilevel"/>
    <w:tmpl w:val="259E05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BBE1AF"/>
    <w:multiLevelType w:val="hybridMultilevel"/>
    <w:tmpl w:val="867F36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55"/>
    <w:rsid w:val="00052052"/>
    <w:rsid w:val="0006578B"/>
    <w:rsid w:val="000A1C36"/>
    <w:rsid w:val="00101599"/>
    <w:rsid w:val="0011122C"/>
    <w:rsid w:val="00141FF0"/>
    <w:rsid w:val="0014304A"/>
    <w:rsid w:val="00192403"/>
    <w:rsid w:val="001B764A"/>
    <w:rsid w:val="00254BC7"/>
    <w:rsid w:val="00270193"/>
    <w:rsid w:val="00291CA7"/>
    <w:rsid w:val="002C2F0A"/>
    <w:rsid w:val="00333B1B"/>
    <w:rsid w:val="003616F7"/>
    <w:rsid w:val="00400F21"/>
    <w:rsid w:val="00436D97"/>
    <w:rsid w:val="004456D1"/>
    <w:rsid w:val="00476020"/>
    <w:rsid w:val="004856E6"/>
    <w:rsid w:val="004F2485"/>
    <w:rsid w:val="00544C5E"/>
    <w:rsid w:val="00545CEA"/>
    <w:rsid w:val="00563417"/>
    <w:rsid w:val="005B1EB4"/>
    <w:rsid w:val="00616665"/>
    <w:rsid w:val="006B045F"/>
    <w:rsid w:val="006D37B9"/>
    <w:rsid w:val="00702D4C"/>
    <w:rsid w:val="007469C6"/>
    <w:rsid w:val="00802026"/>
    <w:rsid w:val="008044C1"/>
    <w:rsid w:val="0084445E"/>
    <w:rsid w:val="00887445"/>
    <w:rsid w:val="00887818"/>
    <w:rsid w:val="008A2690"/>
    <w:rsid w:val="00937877"/>
    <w:rsid w:val="009503D6"/>
    <w:rsid w:val="00982ABB"/>
    <w:rsid w:val="00984E6F"/>
    <w:rsid w:val="009948D6"/>
    <w:rsid w:val="009D0773"/>
    <w:rsid w:val="00A44207"/>
    <w:rsid w:val="00A4667E"/>
    <w:rsid w:val="00A574CE"/>
    <w:rsid w:val="00A843F8"/>
    <w:rsid w:val="00AC6F33"/>
    <w:rsid w:val="00B41ECE"/>
    <w:rsid w:val="00B54886"/>
    <w:rsid w:val="00B61C45"/>
    <w:rsid w:val="00B633CF"/>
    <w:rsid w:val="00B7397A"/>
    <w:rsid w:val="00C03529"/>
    <w:rsid w:val="00CC7A59"/>
    <w:rsid w:val="00D72AD0"/>
    <w:rsid w:val="00DA504E"/>
    <w:rsid w:val="00DB010A"/>
    <w:rsid w:val="00DE7E19"/>
    <w:rsid w:val="00E041AD"/>
    <w:rsid w:val="00E14C6D"/>
    <w:rsid w:val="00E23C6B"/>
    <w:rsid w:val="00E24059"/>
    <w:rsid w:val="00E34D24"/>
    <w:rsid w:val="00ED24EC"/>
    <w:rsid w:val="00F82655"/>
    <w:rsid w:val="00FD5324"/>
    <w:rsid w:val="00FE130B"/>
    <w:rsid w:val="00FE3D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3ED75"/>
  <w15:chartTrackingRefBased/>
  <w15:docId w15:val="{98D5637D-6655-4942-A790-AB4D10A5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3"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3"/>
    <w:rsid w:val="00F82655"/>
    <w:pPr>
      <w:spacing w:before="20" w:after="0" w:line="280" w:lineRule="atLeast"/>
      <w:jc w:val="both"/>
    </w:pPr>
    <w:rPr>
      <w:rFonts w:ascii="Arial" w:eastAsia="Times New Roman" w:hAnsi="Arial" w:cs="Arial"/>
      <w:iCs/>
      <w:color w:val="000000" w:themeColor="text1"/>
      <w:sz w:val="20"/>
      <w:szCs w:val="20"/>
      <w:lang w:eastAsia="en-GB"/>
    </w:rPr>
  </w:style>
  <w:style w:type="paragraph" w:styleId="Heading1">
    <w:name w:val="heading 1"/>
    <w:next w:val="BodyTextGrey"/>
    <w:link w:val="Heading1Char"/>
    <w:qFormat/>
    <w:rsid w:val="00F82655"/>
    <w:pPr>
      <w:keepNext/>
      <w:keepLines/>
      <w:spacing w:before="140" w:after="140" w:line="360" w:lineRule="atLeast"/>
      <w:outlineLvl w:val="0"/>
    </w:pPr>
    <w:rPr>
      <w:rFonts w:ascii="Arial" w:eastAsiaTheme="majorEastAsia" w:hAnsi="Arial" w:cstheme="majorBidi"/>
      <w:color w:val="3FA6CC"/>
      <w:kern w:val="28"/>
      <w:sz w:val="36"/>
      <w:szCs w:val="20"/>
      <w:lang w:eastAsia="en-GB"/>
    </w:rPr>
  </w:style>
  <w:style w:type="paragraph" w:styleId="Heading2">
    <w:name w:val="heading 2"/>
    <w:next w:val="BodyTextGrey"/>
    <w:link w:val="Heading2Char"/>
    <w:qFormat/>
    <w:rsid w:val="00F82655"/>
    <w:pPr>
      <w:keepNext/>
      <w:keepLines/>
      <w:spacing w:after="0" w:line="280" w:lineRule="atLeast"/>
      <w:outlineLvl w:val="1"/>
    </w:pPr>
    <w:rPr>
      <w:rFonts w:ascii="Arial" w:eastAsiaTheme="majorEastAsia" w:hAnsi="Arial" w:cs="Arial"/>
      <w:b/>
      <w:iCs/>
      <w:color w:val="44546A" w:themeColor="text2"/>
      <w:sz w:val="20"/>
      <w:szCs w:val="20"/>
      <w:lang w:eastAsia="en-GB"/>
    </w:rPr>
  </w:style>
  <w:style w:type="paragraph" w:styleId="Heading3">
    <w:name w:val="heading 3"/>
    <w:basedOn w:val="Normal"/>
    <w:next w:val="Normal"/>
    <w:link w:val="Heading3Char"/>
    <w:uiPriority w:val="9"/>
    <w:semiHidden/>
    <w:unhideWhenUsed/>
    <w:qFormat/>
    <w:rsid w:val="00F8265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655"/>
    <w:rPr>
      <w:rFonts w:ascii="Arial" w:eastAsiaTheme="majorEastAsia" w:hAnsi="Arial" w:cstheme="majorBidi"/>
      <w:color w:val="3FA6CC"/>
      <w:kern w:val="28"/>
      <w:sz w:val="36"/>
      <w:szCs w:val="20"/>
      <w:lang w:eastAsia="en-GB"/>
    </w:rPr>
  </w:style>
  <w:style w:type="character" w:customStyle="1" w:styleId="Heading2Char">
    <w:name w:val="Heading 2 Char"/>
    <w:basedOn w:val="DefaultParagraphFont"/>
    <w:link w:val="Heading2"/>
    <w:rsid w:val="00F82655"/>
    <w:rPr>
      <w:rFonts w:ascii="Arial" w:eastAsiaTheme="majorEastAsia" w:hAnsi="Arial" w:cs="Arial"/>
      <w:b/>
      <w:iCs/>
      <w:color w:val="44546A" w:themeColor="text2"/>
      <w:sz w:val="20"/>
      <w:szCs w:val="20"/>
      <w:lang w:eastAsia="en-GB"/>
    </w:rPr>
  </w:style>
  <w:style w:type="table" w:customStyle="1" w:styleId="LightShading1">
    <w:name w:val="Light Shading1"/>
    <w:basedOn w:val="TableNormal"/>
    <w:uiPriority w:val="60"/>
    <w:rsid w:val="00F82655"/>
    <w:pPr>
      <w:spacing w:before="20"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Grey">
    <w:name w:val="Body Text Grey"/>
    <w:basedOn w:val="BodyText"/>
    <w:link w:val="BodyTextGreyChar"/>
    <w:qFormat/>
    <w:rsid w:val="00F82655"/>
    <w:pPr>
      <w:spacing w:after="200"/>
      <w:jc w:val="left"/>
    </w:pPr>
    <w:rPr>
      <w:color w:val="455560"/>
    </w:rPr>
  </w:style>
  <w:style w:type="paragraph" w:customStyle="1" w:styleId="BulletHymans">
    <w:name w:val="Bullet Hymans"/>
    <w:uiPriority w:val="2"/>
    <w:qFormat/>
    <w:rsid w:val="00F82655"/>
    <w:pPr>
      <w:numPr>
        <w:numId w:val="1"/>
      </w:numPr>
      <w:spacing w:before="20" w:after="140" w:line="280" w:lineRule="exact"/>
    </w:pPr>
    <w:rPr>
      <w:rFonts w:ascii="Arial" w:eastAsia="Times New Roman" w:hAnsi="Arial" w:cs="Arial"/>
      <w:iCs/>
      <w:color w:val="455560"/>
      <w:sz w:val="20"/>
      <w:szCs w:val="20"/>
      <w:lang w:eastAsia="en-GB"/>
    </w:rPr>
  </w:style>
  <w:style w:type="character" w:customStyle="1" w:styleId="BodyTextGreyChar">
    <w:name w:val="Body Text Grey Char"/>
    <w:basedOn w:val="DefaultParagraphFont"/>
    <w:link w:val="BodyTextGrey"/>
    <w:rsid w:val="00F82655"/>
    <w:rPr>
      <w:rFonts w:ascii="Arial" w:eastAsia="Times New Roman" w:hAnsi="Arial" w:cs="Arial"/>
      <w:iCs/>
      <w:color w:val="455560"/>
      <w:sz w:val="20"/>
      <w:szCs w:val="20"/>
      <w:lang w:eastAsia="en-GB"/>
    </w:rPr>
  </w:style>
  <w:style w:type="paragraph" w:styleId="BodyText">
    <w:name w:val="Body Text"/>
    <w:basedOn w:val="Normal"/>
    <w:link w:val="BodyTextChar"/>
    <w:uiPriority w:val="99"/>
    <w:semiHidden/>
    <w:unhideWhenUsed/>
    <w:rsid w:val="00F82655"/>
    <w:pPr>
      <w:spacing w:after="120"/>
    </w:pPr>
  </w:style>
  <w:style w:type="character" w:customStyle="1" w:styleId="BodyTextChar">
    <w:name w:val="Body Text Char"/>
    <w:basedOn w:val="DefaultParagraphFont"/>
    <w:link w:val="BodyText"/>
    <w:uiPriority w:val="99"/>
    <w:semiHidden/>
    <w:rsid w:val="00F82655"/>
    <w:rPr>
      <w:rFonts w:ascii="Arial" w:eastAsia="Times New Roman" w:hAnsi="Arial" w:cs="Arial"/>
      <w:iCs/>
      <w:color w:val="000000" w:themeColor="text1"/>
      <w:sz w:val="20"/>
      <w:szCs w:val="20"/>
      <w:lang w:eastAsia="en-GB"/>
    </w:rPr>
  </w:style>
  <w:style w:type="paragraph" w:styleId="Header">
    <w:name w:val="header"/>
    <w:basedOn w:val="Normal"/>
    <w:link w:val="HeaderChar"/>
    <w:uiPriority w:val="99"/>
    <w:unhideWhenUsed/>
    <w:rsid w:val="00F8265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82655"/>
    <w:rPr>
      <w:rFonts w:ascii="Arial" w:eastAsia="Times New Roman" w:hAnsi="Arial" w:cs="Arial"/>
      <w:iCs/>
      <w:color w:val="000000" w:themeColor="text1"/>
      <w:sz w:val="20"/>
      <w:szCs w:val="20"/>
      <w:lang w:eastAsia="en-GB"/>
    </w:rPr>
  </w:style>
  <w:style w:type="paragraph" w:styleId="Footer">
    <w:name w:val="footer"/>
    <w:basedOn w:val="Normal"/>
    <w:link w:val="FooterChar"/>
    <w:uiPriority w:val="99"/>
    <w:unhideWhenUsed/>
    <w:rsid w:val="00F8265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82655"/>
    <w:rPr>
      <w:rFonts w:ascii="Arial" w:eastAsia="Times New Roman" w:hAnsi="Arial" w:cs="Arial"/>
      <w:iCs/>
      <w:color w:val="000000" w:themeColor="text1"/>
      <w:sz w:val="20"/>
      <w:szCs w:val="20"/>
      <w:lang w:eastAsia="en-GB"/>
    </w:rPr>
  </w:style>
  <w:style w:type="character" w:customStyle="1" w:styleId="Heading3Char">
    <w:name w:val="Heading 3 Char"/>
    <w:basedOn w:val="DefaultParagraphFont"/>
    <w:link w:val="Heading3"/>
    <w:uiPriority w:val="9"/>
    <w:semiHidden/>
    <w:rsid w:val="00F82655"/>
    <w:rPr>
      <w:rFonts w:asciiTheme="majorHAnsi" w:eastAsiaTheme="majorEastAsia" w:hAnsiTheme="majorHAnsi" w:cstheme="majorBidi"/>
      <w:iCs/>
      <w:color w:val="1F3763" w:themeColor="accent1" w:themeShade="7F"/>
      <w:sz w:val="24"/>
      <w:szCs w:val="24"/>
      <w:lang w:eastAsia="en-GB"/>
    </w:rPr>
  </w:style>
  <w:style w:type="paragraph" w:styleId="ListParagraph">
    <w:name w:val="List Paragraph"/>
    <w:basedOn w:val="Normal"/>
    <w:uiPriority w:val="34"/>
    <w:qFormat/>
    <w:rsid w:val="00E041AD"/>
    <w:pPr>
      <w:ind w:left="720"/>
      <w:contextualSpacing/>
    </w:pPr>
  </w:style>
  <w:style w:type="paragraph" w:customStyle="1" w:styleId="Default">
    <w:name w:val="Default"/>
    <w:rsid w:val="00FD532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48D6"/>
    <w:rPr>
      <w:sz w:val="16"/>
      <w:szCs w:val="16"/>
    </w:rPr>
  </w:style>
  <w:style w:type="paragraph" w:styleId="CommentText">
    <w:name w:val="annotation text"/>
    <w:basedOn w:val="Normal"/>
    <w:link w:val="CommentTextChar"/>
    <w:uiPriority w:val="99"/>
    <w:semiHidden/>
    <w:unhideWhenUsed/>
    <w:rsid w:val="009948D6"/>
    <w:pPr>
      <w:spacing w:line="240" w:lineRule="auto"/>
    </w:pPr>
  </w:style>
  <w:style w:type="character" w:customStyle="1" w:styleId="CommentTextChar">
    <w:name w:val="Comment Text Char"/>
    <w:basedOn w:val="DefaultParagraphFont"/>
    <w:link w:val="CommentText"/>
    <w:uiPriority w:val="99"/>
    <w:semiHidden/>
    <w:rsid w:val="009948D6"/>
    <w:rPr>
      <w:rFonts w:ascii="Arial" w:eastAsia="Times New Roman" w:hAnsi="Arial" w:cs="Arial"/>
      <w:iCs/>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9948D6"/>
    <w:rPr>
      <w:b/>
      <w:bCs/>
    </w:rPr>
  </w:style>
  <w:style w:type="character" w:customStyle="1" w:styleId="CommentSubjectChar">
    <w:name w:val="Comment Subject Char"/>
    <w:basedOn w:val="CommentTextChar"/>
    <w:link w:val="CommentSubject"/>
    <w:uiPriority w:val="99"/>
    <w:semiHidden/>
    <w:rsid w:val="009948D6"/>
    <w:rPr>
      <w:rFonts w:ascii="Arial" w:eastAsia="Times New Roman" w:hAnsi="Arial" w:cs="Arial"/>
      <w:b/>
      <w:bCs/>
      <w:iCs/>
      <w:color w:val="000000" w:themeColor="text1"/>
      <w:sz w:val="20"/>
      <w:szCs w:val="20"/>
      <w:lang w:eastAsia="en-GB"/>
    </w:rPr>
  </w:style>
  <w:style w:type="paragraph" w:styleId="BalloonText">
    <w:name w:val="Balloon Text"/>
    <w:basedOn w:val="Normal"/>
    <w:link w:val="BalloonTextChar"/>
    <w:uiPriority w:val="99"/>
    <w:semiHidden/>
    <w:unhideWhenUsed/>
    <w:rsid w:val="009948D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D6"/>
    <w:rPr>
      <w:rFonts w:ascii="Segoe UI" w:eastAsia="Times New Roman" w:hAnsi="Segoe UI" w:cs="Segoe UI"/>
      <w:iCs/>
      <w:color w:val="000000" w:themeColor="text1"/>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F881-6AFF-458E-833F-654531F7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Hope</dc:creator>
  <cp:keywords/>
  <dc:description/>
  <cp:lastModifiedBy>Tracey L Williams</cp:lastModifiedBy>
  <cp:revision>2</cp:revision>
  <cp:lastPrinted>2020-02-10T15:05:00Z</cp:lastPrinted>
  <dcterms:created xsi:type="dcterms:W3CDTF">2020-02-24T20:13:00Z</dcterms:created>
  <dcterms:modified xsi:type="dcterms:W3CDTF">2020-02-24T20:13:00Z</dcterms:modified>
</cp:coreProperties>
</file>